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0437" w14:textId="77777777" w:rsidR="00C80863" w:rsidRDefault="00C80863" w:rsidP="00C80863">
      <w:pPr>
        <w:pStyle w:val="Zhlav"/>
        <w:jc w:val="center"/>
      </w:pPr>
      <w:r w:rsidRPr="00DF69AA">
        <w:rPr>
          <w:noProof/>
          <w:color w:val="FFFFFF"/>
        </w:rPr>
        <w:drawing>
          <wp:inline distT="0" distB="0" distL="0" distR="0" wp14:anchorId="71C3497A" wp14:editId="6BE6B731">
            <wp:extent cx="2695575" cy="7429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85C">
        <w:rPr>
          <w:noProof/>
        </w:rPr>
        <w:drawing>
          <wp:inline distT="0" distB="0" distL="0" distR="0" wp14:anchorId="0D0EC5F8" wp14:editId="0ACD759E">
            <wp:extent cx="6141720" cy="469265"/>
            <wp:effectExtent l="0" t="0" r="0" b="0"/>
            <wp:docPr id="2" name="obrázek 2" descr="bily obd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ily obdelni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8B85" w14:textId="77777777" w:rsidR="00C80863" w:rsidRDefault="00C80863" w:rsidP="00C80863">
      <w:pPr>
        <w:pStyle w:val="Zhlav"/>
      </w:pPr>
    </w:p>
    <w:p w14:paraId="154722C9" w14:textId="77777777" w:rsidR="00F40A74" w:rsidRPr="00CD7918" w:rsidRDefault="00F40A74" w:rsidP="00F40A74">
      <w:pPr>
        <w:pStyle w:val="Nzev"/>
        <w:jc w:val="both"/>
        <w:rPr>
          <w:sz w:val="36"/>
        </w:rPr>
      </w:pPr>
    </w:p>
    <w:p w14:paraId="650E2AFF" w14:textId="77777777" w:rsidR="00F40A74" w:rsidRPr="00CD7918" w:rsidRDefault="00F40A74" w:rsidP="00F40A74">
      <w:pPr>
        <w:pStyle w:val="Nzev"/>
        <w:jc w:val="both"/>
        <w:rPr>
          <w:sz w:val="36"/>
        </w:rPr>
      </w:pPr>
    </w:p>
    <w:p w14:paraId="4B3EADD7" w14:textId="77777777" w:rsidR="00A45E34" w:rsidRPr="00182185" w:rsidRDefault="00A45E34" w:rsidP="00A45E34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182185">
        <w:rPr>
          <w:rFonts w:ascii="Times New Roman" w:hAnsi="Times New Roman" w:cs="Times New Roman"/>
          <w:b/>
          <w:sz w:val="32"/>
          <w:szCs w:val="32"/>
          <w:u w:val="single"/>
        </w:rPr>
        <w:t xml:space="preserve">ORGANIZAČNÍ SMĚRNICE </w:t>
      </w:r>
    </w:p>
    <w:p w14:paraId="3E9FE21A" w14:textId="05FC9A3E" w:rsidR="00A45E34" w:rsidRPr="00182185" w:rsidRDefault="00A45E34" w:rsidP="00A45E34">
      <w:pPr>
        <w:spacing w:after="12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2185">
        <w:rPr>
          <w:rFonts w:ascii="Times New Roman" w:hAnsi="Times New Roman" w:cs="Times New Roman"/>
          <w:sz w:val="32"/>
          <w:szCs w:val="28"/>
        </w:rPr>
        <w:t>č. OS-</w:t>
      </w:r>
      <w:r w:rsidR="0034056F">
        <w:rPr>
          <w:rFonts w:ascii="Times New Roman" w:hAnsi="Times New Roman" w:cs="Times New Roman"/>
          <w:sz w:val="32"/>
          <w:szCs w:val="28"/>
        </w:rPr>
        <w:t xml:space="preserve"> </w:t>
      </w:r>
      <w:r w:rsidR="00AB68A4">
        <w:rPr>
          <w:rFonts w:ascii="Times New Roman" w:hAnsi="Times New Roman" w:cs="Times New Roman"/>
          <w:sz w:val="32"/>
          <w:szCs w:val="28"/>
        </w:rPr>
        <w:t>18</w:t>
      </w:r>
      <w:r w:rsidRPr="00182185">
        <w:rPr>
          <w:rFonts w:ascii="Times New Roman" w:hAnsi="Times New Roman" w:cs="Times New Roman"/>
          <w:sz w:val="32"/>
          <w:szCs w:val="28"/>
        </w:rPr>
        <w:t>/</w:t>
      </w:r>
      <w:r w:rsidR="00AB68A4">
        <w:rPr>
          <w:rFonts w:ascii="Times New Roman" w:hAnsi="Times New Roman" w:cs="Times New Roman"/>
          <w:sz w:val="32"/>
          <w:szCs w:val="28"/>
        </w:rPr>
        <w:t>05</w:t>
      </w:r>
      <w:r w:rsidRPr="00182185">
        <w:rPr>
          <w:rFonts w:ascii="Times New Roman" w:hAnsi="Times New Roman" w:cs="Times New Roman"/>
          <w:sz w:val="32"/>
          <w:szCs w:val="28"/>
        </w:rPr>
        <w:t>/21</w:t>
      </w:r>
    </w:p>
    <w:p w14:paraId="16B1E6D9" w14:textId="331C4FDE" w:rsidR="00A45E34" w:rsidRPr="00182185" w:rsidRDefault="00182185" w:rsidP="00A45E3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 ochraně oznamovatelů</w:t>
      </w:r>
    </w:p>
    <w:p w14:paraId="41F1DFC9" w14:textId="77777777" w:rsidR="00A45E34" w:rsidRPr="00182185" w:rsidRDefault="00A45E34" w:rsidP="00A45E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2EA66" w14:textId="4CAB72BA" w:rsidR="00A45E34" w:rsidRPr="00182185" w:rsidRDefault="00A45E34" w:rsidP="00A45E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85">
        <w:rPr>
          <w:rFonts w:ascii="Times New Roman" w:hAnsi="Times New Roman" w:cs="Times New Roman"/>
          <w:b/>
          <w:sz w:val="24"/>
          <w:szCs w:val="24"/>
        </w:rPr>
        <w:t xml:space="preserve">účinnost od </w:t>
      </w:r>
      <w:r w:rsidR="00182185">
        <w:rPr>
          <w:rFonts w:ascii="Times New Roman" w:hAnsi="Times New Roman" w:cs="Times New Roman"/>
          <w:b/>
          <w:sz w:val="24"/>
          <w:szCs w:val="24"/>
        </w:rPr>
        <w:t>17</w:t>
      </w:r>
      <w:r w:rsidRPr="001821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185">
        <w:rPr>
          <w:rFonts w:ascii="Times New Roman" w:hAnsi="Times New Roman" w:cs="Times New Roman"/>
          <w:b/>
          <w:sz w:val="24"/>
          <w:szCs w:val="24"/>
        </w:rPr>
        <w:t>prosince</w:t>
      </w:r>
      <w:r w:rsidRPr="00182185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7854818F" w14:textId="441CEB61" w:rsidR="00F6474B" w:rsidRDefault="00F6474B"/>
    <w:p w14:paraId="247ED363" w14:textId="30804D11" w:rsidR="00F40A74" w:rsidRDefault="00F40A74"/>
    <w:p w14:paraId="45193F52" w14:textId="749F04D4" w:rsidR="00F40A74" w:rsidRDefault="00F40A74"/>
    <w:p w14:paraId="13892344" w14:textId="0F1AB110" w:rsidR="00F40A74" w:rsidRDefault="00F40A74"/>
    <w:p w14:paraId="5FE357B9" w14:textId="2FA94952" w:rsidR="00F40A74" w:rsidRDefault="00F40A74"/>
    <w:p w14:paraId="0C6EA4F6" w14:textId="0BBB2080" w:rsidR="00F40A74" w:rsidRDefault="00F40A74"/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9"/>
        <w:gridCol w:w="1643"/>
        <w:gridCol w:w="1900"/>
        <w:gridCol w:w="2088"/>
      </w:tblGrid>
      <w:tr w:rsidR="00797B70" w:rsidRPr="00E74328" w14:paraId="7E60E502" w14:textId="77777777" w:rsidTr="00C130B7">
        <w:trPr>
          <w:cantSplit/>
          <w:trHeight w:val="548"/>
          <w:jc w:val="center"/>
        </w:trPr>
        <w:tc>
          <w:tcPr>
            <w:tcW w:w="3649" w:type="dxa"/>
            <w:shd w:val="clear" w:color="auto" w:fill="auto"/>
          </w:tcPr>
          <w:p w14:paraId="49467D29" w14:textId="77777777" w:rsidR="00797B70" w:rsidRPr="00E74328" w:rsidRDefault="00797B70" w:rsidP="00C130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předkladatel:</w:t>
            </w:r>
            <w:r w:rsidRPr="00E743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0E8320A" w14:textId="77777777" w:rsidR="00F04312" w:rsidRPr="00E74328" w:rsidRDefault="00F04312" w:rsidP="00F043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Bc. Roman Šikola</w:t>
            </w:r>
          </w:p>
          <w:p w14:paraId="19B799B6" w14:textId="36D460EE" w:rsidR="00797B70" w:rsidRPr="00E74328" w:rsidRDefault="00F04312" w:rsidP="00F043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manažer bezpečnosti informací a DPO</w:t>
            </w:r>
          </w:p>
        </w:tc>
        <w:tc>
          <w:tcPr>
            <w:tcW w:w="1643" w:type="dxa"/>
          </w:tcPr>
          <w:p w14:paraId="33909A95" w14:textId="77777777" w:rsidR="00797B70" w:rsidRPr="00E74328" w:rsidRDefault="00797B70" w:rsidP="00C130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připomínkové řízení:</w:t>
            </w:r>
          </w:p>
        </w:tc>
        <w:tc>
          <w:tcPr>
            <w:tcW w:w="1900" w:type="dxa"/>
          </w:tcPr>
          <w:p w14:paraId="4D871A33" w14:textId="77777777" w:rsidR="00797B70" w:rsidRPr="00E74328" w:rsidRDefault="00797B70" w:rsidP="00C130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oddělení dozoru a legislativy</w:t>
            </w:r>
          </w:p>
        </w:tc>
        <w:tc>
          <w:tcPr>
            <w:tcW w:w="2088" w:type="dxa"/>
          </w:tcPr>
          <w:p w14:paraId="5304E8B9" w14:textId="77777777" w:rsidR="00797B70" w:rsidRPr="00E74328" w:rsidRDefault="00797B70" w:rsidP="00C130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schváleno ředitelem</w:t>
            </w:r>
          </w:p>
        </w:tc>
      </w:tr>
      <w:tr w:rsidR="00797B70" w:rsidRPr="00E74328" w14:paraId="604ACA3C" w14:textId="77777777" w:rsidTr="00C130B7">
        <w:trPr>
          <w:cantSplit/>
          <w:trHeight w:val="503"/>
          <w:jc w:val="center"/>
        </w:trPr>
        <w:tc>
          <w:tcPr>
            <w:tcW w:w="3649" w:type="dxa"/>
            <w:vMerge w:val="restart"/>
            <w:shd w:val="clear" w:color="auto" w:fill="auto"/>
          </w:tcPr>
          <w:p w14:paraId="663E7BD4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1643" w:type="dxa"/>
            <w:vMerge w:val="restart"/>
            <w:vAlign w:val="center"/>
          </w:tcPr>
          <w:p w14:paraId="7485DC10" w14:textId="77777777" w:rsidR="004B6574" w:rsidRDefault="004B6574" w:rsidP="004B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97B70" w:rsidRPr="00E74328">
              <w:rPr>
                <w:rFonts w:ascii="Times New Roman" w:hAnsi="Times New Roman" w:cs="Times New Roman"/>
                <w:sz w:val="20"/>
                <w:szCs w:val="20"/>
              </w:rPr>
              <w:t>roběhlo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2168D5" w14:textId="4E584461" w:rsidR="00797B70" w:rsidRDefault="004B6574" w:rsidP="004B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30. 11. 2021 </w:t>
            </w:r>
          </w:p>
          <w:p w14:paraId="2B440CBD" w14:textId="46F97E38" w:rsidR="004B6574" w:rsidRPr="00E74328" w:rsidRDefault="004B6574" w:rsidP="004B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035B52">
              <w:rPr>
                <w:rFonts w:ascii="Times New Roman" w:hAnsi="Times New Roman" w:cs="Times New Roman"/>
                <w:sz w:val="20"/>
                <w:szCs w:val="20"/>
              </w:rPr>
              <w:t>3. 12. 2021</w:t>
            </w:r>
          </w:p>
          <w:p w14:paraId="4ABF6DAC" w14:textId="77777777" w:rsidR="00797B70" w:rsidRPr="00E74328" w:rsidRDefault="00797B70" w:rsidP="00C13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2CDF4577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sz w:val="20"/>
                <w:szCs w:val="20"/>
              </w:rPr>
              <w:t>datum kontroly:</w:t>
            </w:r>
          </w:p>
          <w:p w14:paraId="0C78A1E0" w14:textId="77777777" w:rsidR="00797B70" w:rsidRPr="00E74328" w:rsidRDefault="00797B70" w:rsidP="00C130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0AE6D855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sz w:val="20"/>
                <w:szCs w:val="20"/>
              </w:rPr>
              <w:t>datum:</w:t>
            </w:r>
          </w:p>
          <w:p w14:paraId="5505F312" w14:textId="77777777" w:rsidR="00797B70" w:rsidRPr="00E74328" w:rsidRDefault="00797B70" w:rsidP="00C13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B70" w:rsidRPr="00E74328" w14:paraId="420EFF38" w14:textId="77777777" w:rsidTr="00C130B7">
        <w:trPr>
          <w:cantSplit/>
          <w:trHeight w:val="450"/>
          <w:jc w:val="center"/>
        </w:trPr>
        <w:tc>
          <w:tcPr>
            <w:tcW w:w="3649" w:type="dxa"/>
            <w:vMerge/>
            <w:shd w:val="clear" w:color="auto" w:fill="auto"/>
          </w:tcPr>
          <w:p w14:paraId="303D51B0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14:paraId="3B73AA60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</w:tcPr>
          <w:p w14:paraId="5F5BEBC1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088" w:type="dxa"/>
            <w:vMerge w:val="restart"/>
          </w:tcPr>
          <w:p w14:paraId="647044DF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podpis:</w:t>
            </w:r>
          </w:p>
        </w:tc>
      </w:tr>
      <w:tr w:rsidR="00797B70" w:rsidRPr="00E74328" w14:paraId="1A082B89" w14:textId="77777777" w:rsidTr="00C130B7">
        <w:trPr>
          <w:cantSplit/>
          <w:trHeight w:val="592"/>
          <w:jc w:val="center"/>
        </w:trPr>
        <w:tc>
          <w:tcPr>
            <w:tcW w:w="3649" w:type="dxa"/>
            <w:shd w:val="clear" w:color="auto" w:fill="auto"/>
          </w:tcPr>
          <w:p w14:paraId="5461E9E0" w14:textId="77777777" w:rsidR="00797B70" w:rsidRPr="00E74328" w:rsidRDefault="00797B70" w:rsidP="00C130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zpracovatel: </w:t>
            </w:r>
          </w:p>
          <w:p w14:paraId="4B560ABE" w14:textId="7198A65E" w:rsidR="00797B70" w:rsidRPr="00E74328" w:rsidRDefault="00E74328" w:rsidP="00C130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Bc. Roman Šikola</w:t>
            </w:r>
          </w:p>
          <w:p w14:paraId="0C18A5E0" w14:textId="18611EC0" w:rsidR="00797B70" w:rsidRPr="00E74328" w:rsidRDefault="00F04312" w:rsidP="00C130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manažer bezpečnosti informací a DPO</w:t>
            </w:r>
          </w:p>
        </w:tc>
        <w:tc>
          <w:tcPr>
            <w:tcW w:w="1643" w:type="dxa"/>
            <w:vMerge/>
          </w:tcPr>
          <w:p w14:paraId="28A042AA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272A47C1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1C0F8258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7B70" w:rsidRPr="00E74328" w14:paraId="5601A56A" w14:textId="77777777" w:rsidTr="00C130B7">
        <w:trPr>
          <w:cantSplit/>
          <w:trHeight w:val="779"/>
          <w:jc w:val="center"/>
        </w:trPr>
        <w:tc>
          <w:tcPr>
            <w:tcW w:w="3649" w:type="dxa"/>
            <w:shd w:val="clear" w:color="auto" w:fill="auto"/>
          </w:tcPr>
          <w:p w14:paraId="467AD7C6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podpis:</w:t>
            </w:r>
          </w:p>
          <w:p w14:paraId="71B498D3" w14:textId="77777777" w:rsidR="00797B70" w:rsidRPr="00E74328" w:rsidRDefault="00797B70" w:rsidP="00C130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14:paraId="3857C4F3" w14:textId="77777777" w:rsidR="00797B70" w:rsidRPr="00E74328" w:rsidRDefault="00797B70" w:rsidP="00C130B7">
            <w:pPr>
              <w:pStyle w:val="Nadpis1"/>
              <w:rPr>
                <w:i/>
                <w:sz w:val="20"/>
              </w:rPr>
            </w:pPr>
          </w:p>
        </w:tc>
        <w:tc>
          <w:tcPr>
            <w:tcW w:w="1900" w:type="dxa"/>
            <w:vMerge/>
          </w:tcPr>
          <w:p w14:paraId="1A2B6024" w14:textId="77777777" w:rsidR="00797B70" w:rsidRPr="00E74328" w:rsidRDefault="00797B70" w:rsidP="00C130B7">
            <w:pPr>
              <w:pStyle w:val="Nadpis1"/>
              <w:rPr>
                <w:sz w:val="20"/>
              </w:rPr>
            </w:pPr>
          </w:p>
        </w:tc>
        <w:tc>
          <w:tcPr>
            <w:tcW w:w="2088" w:type="dxa"/>
            <w:vMerge/>
          </w:tcPr>
          <w:p w14:paraId="0D1411F5" w14:textId="77777777" w:rsidR="00797B70" w:rsidRPr="00E74328" w:rsidRDefault="00797B70" w:rsidP="00C130B7">
            <w:pPr>
              <w:pStyle w:val="Nadpis1"/>
              <w:rPr>
                <w:sz w:val="20"/>
              </w:rPr>
            </w:pPr>
          </w:p>
        </w:tc>
      </w:tr>
    </w:tbl>
    <w:p w14:paraId="24DA8BA5" w14:textId="6F2BF4CE" w:rsidR="00F40A74" w:rsidRDefault="00F40A74"/>
    <w:p w14:paraId="045B8810" w14:textId="467F7FCA" w:rsidR="00F40A74" w:rsidRDefault="00F40A7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657897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EF36A4" w14:textId="58D210F9" w:rsidR="000D4501" w:rsidRPr="00CC24B0" w:rsidRDefault="000D4501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CC24B0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6A556140" w14:textId="674933EE" w:rsidR="000D4501" w:rsidRPr="000A6DCF" w:rsidRDefault="000D4501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11BBE">
            <w:rPr>
              <w:rFonts w:ascii="Times New Roman" w:hAnsi="Times New Roman" w:cs="Times New Roman"/>
            </w:rPr>
            <w:fldChar w:fldCharType="begin"/>
          </w:r>
          <w:r w:rsidRPr="00B11BBE">
            <w:rPr>
              <w:rFonts w:ascii="Times New Roman" w:hAnsi="Times New Roman" w:cs="Times New Roman"/>
            </w:rPr>
            <w:instrText xml:space="preserve"> TOC \o "1-3" \h \z \u </w:instrText>
          </w:r>
          <w:r w:rsidRPr="00B11BBE">
            <w:rPr>
              <w:rFonts w:ascii="Times New Roman" w:hAnsi="Times New Roman" w:cs="Times New Roman"/>
            </w:rPr>
            <w:fldChar w:fldCharType="separate"/>
          </w:r>
          <w:hyperlink w:anchor="_Toc89083168" w:history="1">
            <w:r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I.</w:t>
            </w:r>
            <w:r w:rsidRPr="000A6DC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Úvodní ustanovení</w:t>
            </w:r>
            <w:r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_Toc89083168 \h </w:instrText>
            </w:r>
            <w:r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5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80BD39" w14:textId="675AC011" w:rsidR="000D4501" w:rsidRPr="000A6DCF" w:rsidRDefault="00125FAC">
          <w:pPr>
            <w:pStyle w:val="Obsah2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3169" w:history="1"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0D4501" w:rsidRPr="000A6DC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Základní pojmy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_Toc89083169 \h </w:instrTex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5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E81FE8" w14:textId="21E9552D" w:rsidR="000D4501" w:rsidRPr="000A6DCF" w:rsidRDefault="00125FAC">
          <w:pPr>
            <w:pStyle w:val="Obsah2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3170" w:history="1"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0D4501" w:rsidRPr="000A6DC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Ochrana oznamovatelů a dalších osob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_Toc89083170 \h </w:instrTex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5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1CC5D9" w14:textId="23AF320D" w:rsidR="000D4501" w:rsidRPr="000A6DCF" w:rsidRDefault="00125FAC">
          <w:pPr>
            <w:pStyle w:val="Obsah2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3171" w:history="1"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0D4501" w:rsidRPr="000A6DC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Přijímání, zpracování a evidence oznámení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_Toc89083171 \h </w:instrTex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5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DEE303" w14:textId="4729BEB3" w:rsidR="000D4501" w:rsidRPr="000A6DCF" w:rsidRDefault="00125FAC">
          <w:pPr>
            <w:pStyle w:val="Obsah3"/>
            <w:tabs>
              <w:tab w:val="left" w:pos="110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3172" w:history="1"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</w:t>
            </w:r>
            <w:r w:rsidR="000D4501" w:rsidRPr="000A6DC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Příslušná osoba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_Toc89083172 \h </w:instrTex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5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B7A103" w14:textId="4DC7505B" w:rsidR="000D4501" w:rsidRPr="000A6DCF" w:rsidRDefault="00125FAC">
          <w:pPr>
            <w:pStyle w:val="Obsah3"/>
            <w:tabs>
              <w:tab w:val="left" w:pos="110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3173" w:history="1"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</w:t>
            </w:r>
            <w:r w:rsidR="000D4501" w:rsidRPr="000A6DC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Vnitřní oznamovací systém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_Toc89083173 \h </w:instrTex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5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8CF66" w14:textId="4B8A50CB" w:rsidR="000D4501" w:rsidRPr="000A6DCF" w:rsidRDefault="00125FAC">
          <w:pPr>
            <w:pStyle w:val="Obsah3"/>
            <w:tabs>
              <w:tab w:val="left" w:pos="110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3174" w:history="1"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</w:t>
            </w:r>
            <w:r w:rsidR="000D4501" w:rsidRPr="000A6DC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Evidence a uchovávání oznámení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_Toc89083174 \h </w:instrTex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5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2957B1" w14:textId="02D92C22" w:rsidR="000D4501" w:rsidRPr="000A6DCF" w:rsidRDefault="00125FAC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3175" w:history="1"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II.</w:t>
            </w:r>
            <w:r w:rsidR="000D4501" w:rsidRPr="000A6DC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D4501" w:rsidRPr="000A6DCF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Závěrečná ustanovení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_Toc89083175 \h </w:instrTex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5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D4501" w:rsidRPr="000A6D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0FEB33" w14:textId="57AE67D4" w:rsidR="000D4501" w:rsidRDefault="000D4501">
          <w:r w:rsidRPr="00B11BBE">
            <w:rPr>
              <w:rFonts w:ascii="Times New Roman" w:hAnsi="Times New Roman" w:cs="Times New Roman"/>
            </w:rPr>
            <w:fldChar w:fldCharType="end"/>
          </w:r>
        </w:p>
      </w:sdtContent>
    </w:sdt>
    <w:p w14:paraId="3BBB68F3" w14:textId="1FB5FF88" w:rsidR="00F40A74" w:rsidRDefault="00F40A74">
      <w:pPr>
        <w:rPr>
          <w:rFonts w:ascii="Times New Roman" w:hAnsi="Times New Roman" w:cs="Times New Roman"/>
        </w:rPr>
      </w:pPr>
    </w:p>
    <w:p w14:paraId="2418C24D" w14:textId="64E2B8CC" w:rsidR="00F40A74" w:rsidRDefault="00F40A74">
      <w:pPr>
        <w:rPr>
          <w:rFonts w:ascii="Times New Roman" w:hAnsi="Times New Roman" w:cs="Times New Roman"/>
        </w:rPr>
      </w:pPr>
    </w:p>
    <w:p w14:paraId="68D8461F" w14:textId="4C06EF33" w:rsidR="00F40A74" w:rsidRDefault="00F40A74">
      <w:pPr>
        <w:rPr>
          <w:rFonts w:ascii="Times New Roman" w:hAnsi="Times New Roman" w:cs="Times New Roman"/>
        </w:rPr>
      </w:pPr>
    </w:p>
    <w:p w14:paraId="41134C7F" w14:textId="1C6A7D3B" w:rsidR="00F40A74" w:rsidRDefault="00F40A74">
      <w:pPr>
        <w:rPr>
          <w:rFonts w:ascii="Times New Roman" w:hAnsi="Times New Roman" w:cs="Times New Roman"/>
        </w:rPr>
      </w:pPr>
    </w:p>
    <w:p w14:paraId="3C52F2C9" w14:textId="5538E541" w:rsidR="00F40A74" w:rsidRDefault="00F40A74">
      <w:pPr>
        <w:rPr>
          <w:rFonts w:ascii="Times New Roman" w:hAnsi="Times New Roman" w:cs="Times New Roman"/>
        </w:rPr>
      </w:pPr>
    </w:p>
    <w:p w14:paraId="02BFDF76" w14:textId="15EC541D" w:rsidR="00F40A74" w:rsidRDefault="00F40A74">
      <w:pPr>
        <w:rPr>
          <w:rFonts w:ascii="Times New Roman" w:hAnsi="Times New Roman" w:cs="Times New Roman"/>
        </w:rPr>
      </w:pPr>
    </w:p>
    <w:p w14:paraId="26639064" w14:textId="54A70B1E" w:rsidR="00F40A74" w:rsidRDefault="00F40A74">
      <w:pPr>
        <w:rPr>
          <w:rFonts w:ascii="Times New Roman" w:hAnsi="Times New Roman" w:cs="Times New Roman"/>
        </w:rPr>
      </w:pPr>
    </w:p>
    <w:p w14:paraId="27625FFB" w14:textId="0408F11C" w:rsidR="00F40A74" w:rsidRDefault="00F40A74">
      <w:pPr>
        <w:rPr>
          <w:rFonts w:ascii="Times New Roman" w:hAnsi="Times New Roman" w:cs="Times New Roman"/>
        </w:rPr>
      </w:pPr>
    </w:p>
    <w:p w14:paraId="6616793D" w14:textId="0736109A" w:rsidR="00F40A74" w:rsidRDefault="00F40A74">
      <w:pPr>
        <w:rPr>
          <w:rFonts w:ascii="Times New Roman" w:hAnsi="Times New Roman" w:cs="Times New Roman"/>
        </w:rPr>
      </w:pPr>
    </w:p>
    <w:p w14:paraId="40278597" w14:textId="473CBAB0" w:rsidR="00F40A74" w:rsidRDefault="00F40A74">
      <w:pPr>
        <w:rPr>
          <w:rFonts w:ascii="Times New Roman" w:hAnsi="Times New Roman" w:cs="Times New Roman"/>
        </w:rPr>
      </w:pPr>
    </w:p>
    <w:p w14:paraId="7FD2BAB0" w14:textId="52510073" w:rsidR="00F40A74" w:rsidRDefault="00F40A74">
      <w:pPr>
        <w:rPr>
          <w:rFonts w:ascii="Times New Roman" w:hAnsi="Times New Roman" w:cs="Times New Roman"/>
        </w:rPr>
      </w:pPr>
    </w:p>
    <w:p w14:paraId="088B2834" w14:textId="5D91FFFF" w:rsidR="00F40A74" w:rsidRDefault="00F40A74">
      <w:pPr>
        <w:rPr>
          <w:rFonts w:ascii="Times New Roman" w:hAnsi="Times New Roman" w:cs="Times New Roman"/>
        </w:rPr>
      </w:pPr>
    </w:p>
    <w:p w14:paraId="4516C0D0" w14:textId="14EFC9FA" w:rsidR="00F40A74" w:rsidRDefault="00F40A74">
      <w:pPr>
        <w:rPr>
          <w:rFonts w:ascii="Times New Roman" w:hAnsi="Times New Roman" w:cs="Times New Roman"/>
        </w:rPr>
      </w:pPr>
    </w:p>
    <w:p w14:paraId="4E242A33" w14:textId="5C73D113" w:rsidR="00F40A74" w:rsidRDefault="00F40A74">
      <w:pPr>
        <w:rPr>
          <w:rFonts w:ascii="Times New Roman" w:hAnsi="Times New Roman" w:cs="Times New Roman"/>
        </w:rPr>
      </w:pPr>
    </w:p>
    <w:p w14:paraId="6228AAFB" w14:textId="4D343A4C" w:rsidR="00F40A74" w:rsidRDefault="00F40A74">
      <w:pPr>
        <w:rPr>
          <w:rFonts w:ascii="Times New Roman" w:hAnsi="Times New Roman" w:cs="Times New Roman"/>
        </w:rPr>
      </w:pPr>
    </w:p>
    <w:p w14:paraId="67AD4AA7" w14:textId="7E15C8B9" w:rsidR="00F40A74" w:rsidRDefault="00F40A74">
      <w:pPr>
        <w:rPr>
          <w:rFonts w:ascii="Times New Roman" w:hAnsi="Times New Roman" w:cs="Times New Roman"/>
        </w:rPr>
      </w:pPr>
    </w:p>
    <w:p w14:paraId="24C25C2B" w14:textId="4F5693F2" w:rsidR="00F40A74" w:rsidRDefault="00F40A74">
      <w:pPr>
        <w:rPr>
          <w:rFonts w:ascii="Times New Roman" w:hAnsi="Times New Roman" w:cs="Times New Roman"/>
        </w:rPr>
      </w:pPr>
    </w:p>
    <w:p w14:paraId="477678D7" w14:textId="2706A65A" w:rsidR="00F40A74" w:rsidRDefault="00F40A74">
      <w:pPr>
        <w:rPr>
          <w:rFonts w:ascii="Times New Roman" w:hAnsi="Times New Roman" w:cs="Times New Roman"/>
        </w:rPr>
      </w:pPr>
    </w:p>
    <w:p w14:paraId="452880CB" w14:textId="3DE1CB21" w:rsidR="00F40A74" w:rsidRDefault="00F40A74">
      <w:pPr>
        <w:rPr>
          <w:rFonts w:ascii="Times New Roman" w:hAnsi="Times New Roman" w:cs="Times New Roman"/>
        </w:rPr>
      </w:pPr>
    </w:p>
    <w:p w14:paraId="1A3A9399" w14:textId="543D098E" w:rsidR="00F40A74" w:rsidRDefault="00F40A74">
      <w:pPr>
        <w:rPr>
          <w:rFonts w:ascii="Times New Roman" w:hAnsi="Times New Roman" w:cs="Times New Roman"/>
        </w:rPr>
      </w:pPr>
    </w:p>
    <w:p w14:paraId="44A47689" w14:textId="74643976" w:rsidR="00F40A74" w:rsidRDefault="00F40A74">
      <w:pPr>
        <w:rPr>
          <w:rFonts w:ascii="Times New Roman" w:hAnsi="Times New Roman" w:cs="Times New Roman"/>
        </w:rPr>
      </w:pPr>
    </w:p>
    <w:p w14:paraId="43FD5FF3" w14:textId="6A56BF52" w:rsidR="00F40A74" w:rsidRDefault="00F40A74">
      <w:pPr>
        <w:rPr>
          <w:rFonts w:ascii="Times New Roman" w:hAnsi="Times New Roman" w:cs="Times New Roman"/>
        </w:rPr>
      </w:pPr>
    </w:p>
    <w:p w14:paraId="1CF6A906" w14:textId="3DBF04CD" w:rsidR="00F40A74" w:rsidRDefault="00F40A74">
      <w:pPr>
        <w:rPr>
          <w:rFonts w:ascii="Times New Roman" w:hAnsi="Times New Roman" w:cs="Times New Roman"/>
        </w:rPr>
      </w:pPr>
    </w:p>
    <w:p w14:paraId="45EF49A4" w14:textId="77777777" w:rsidR="00F40A74" w:rsidRDefault="00F40A74" w:rsidP="00F40A74">
      <w:pPr>
        <w:pStyle w:val="Napisneslovan1"/>
        <w:jc w:val="both"/>
        <w:rPr>
          <w:rFonts w:ascii="Times New Roman" w:hAnsi="Times New Roman"/>
          <w:sz w:val="24"/>
          <w:szCs w:val="24"/>
        </w:rPr>
      </w:pPr>
      <w:r w:rsidRPr="00CD7918">
        <w:rPr>
          <w:rFonts w:ascii="Times New Roman" w:hAnsi="Times New Roman"/>
          <w:sz w:val="24"/>
          <w:szCs w:val="24"/>
        </w:rPr>
        <w:lastRenderedPageBreak/>
        <w:t>SEZNAM POUŽITÝCH ZKRATEK</w:t>
      </w:r>
    </w:p>
    <w:p w14:paraId="07E8EE4D" w14:textId="77777777" w:rsidR="00F40A74" w:rsidRPr="00CD7918" w:rsidRDefault="00F40A74" w:rsidP="00F40A74">
      <w:pPr>
        <w:pStyle w:val="Napisneslovan1"/>
        <w:jc w:val="both"/>
        <w:rPr>
          <w:rFonts w:ascii="Times New Roman" w:hAnsi="Times New Roman"/>
          <w:sz w:val="24"/>
          <w:szCs w:val="24"/>
        </w:rPr>
      </w:pPr>
    </w:p>
    <w:tbl>
      <w:tblPr>
        <w:tblW w:w="8779" w:type="dxa"/>
        <w:tblLook w:val="04A0" w:firstRow="1" w:lastRow="0" w:firstColumn="1" w:lastColumn="0" w:noHBand="0" w:noVBand="1"/>
      </w:tblPr>
      <w:tblGrid>
        <w:gridCol w:w="1560"/>
        <w:gridCol w:w="7219"/>
      </w:tblGrid>
      <w:tr w:rsidR="007A1C42" w:rsidRPr="00CD7918" w14:paraId="11910EC8" w14:textId="77777777" w:rsidTr="00C130B7">
        <w:trPr>
          <w:trHeight w:val="433"/>
        </w:trPr>
        <w:tc>
          <w:tcPr>
            <w:tcW w:w="1560" w:type="dxa"/>
          </w:tcPr>
          <w:p w14:paraId="4924A011" w14:textId="518FAB24" w:rsidR="007A1C42" w:rsidRDefault="007A1C42" w:rsidP="00C130B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EOS</w:t>
            </w:r>
          </w:p>
        </w:tc>
        <w:tc>
          <w:tcPr>
            <w:tcW w:w="7219" w:type="dxa"/>
            <w:vAlign w:val="center"/>
          </w:tcPr>
          <w:p w14:paraId="1D1D8C03" w14:textId="14C795C6" w:rsidR="007A1C42" w:rsidRDefault="007A1C42" w:rsidP="00C130B7">
            <w:pPr>
              <w:pStyle w:val="zkratk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Externí (vnější) oznamovací systém</w:t>
            </w:r>
          </w:p>
        </w:tc>
      </w:tr>
      <w:tr w:rsidR="00F40A74" w:rsidRPr="00CD7918" w14:paraId="37BE5CB8" w14:textId="77777777" w:rsidTr="00C130B7">
        <w:trPr>
          <w:trHeight w:val="433"/>
        </w:trPr>
        <w:tc>
          <w:tcPr>
            <w:tcW w:w="1560" w:type="dxa"/>
          </w:tcPr>
          <w:p w14:paraId="1AFFCE49" w14:textId="77777777" w:rsidR="00F40A74" w:rsidRPr="00CD7918" w:rsidRDefault="00F40A74" w:rsidP="00C130B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 LK</w:t>
            </w:r>
          </w:p>
        </w:tc>
        <w:tc>
          <w:tcPr>
            <w:tcW w:w="7219" w:type="dxa"/>
            <w:vAlign w:val="center"/>
          </w:tcPr>
          <w:p w14:paraId="62998CE0" w14:textId="77777777" w:rsidR="00F40A74" w:rsidRPr="00CD7918" w:rsidRDefault="00F40A74" w:rsidP="00C130B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18">
              <w:rPr>
                <w:rFonts w:ascii="Times New Roman" w:hAnsi="Times New Roman"/>
                <w:sz w:val="24"/>
                <w:szCs w:val="24"/>
              </w:rPr>
              <w:t>Krajský úřad Libereckého kraje</w:t>
            </w:r>
          </w:p>
        </w:tc>
      </w:tr>
      <w:tr w:rsidR="00F40A74" w:rsidRPr="00CD7918" w14:paraId="13BD41E2" w14:textId="77777777" w:rsidTr="00C130B7">
        <w:trPr>
          <w:trHeight w:val="433"/>
        </w:trPr>
        <w:tc>
          <w:tcPr>
            <w:tcW w:w="1560" w:type="dxa"/>
          </w:tcPr>
          <w:p w14:paraId="38E52B0D" w14:textId="77777777" w:rsidR="00F40A74" w:rsidRPr="00BB0BA2" w:rsidRDefault="00F40A74" w:rsidP="00C130B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A2">
              <w:rPr>
                <w:rFonts w:ascii="Times New Roman" w:hAnsi="Times New Roman"/>
                <w:sz w:val="24"/>
                <w:szCs w:val="24"/>
              </w:rPr>
              <w:t>RK</w:t>
            </w:r>
          </w:p>
        </w:tc>
        <w:tc>
          <w:tcPr>
            <w:tcW w:w="7219" w:type="dxa"/>
            <w:vAlign w:val="center"/>
          </w:tcPr>
          <w:p w14:paraId="4AB16D5C" w14:textId="77777777" w:rsidR="00F40A74" w:rsidRPr="00BB0BA2" w:rsidRDefault="00F40A74" w:rsidP="00C130B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A2">
              <w:rPr>
                <w:rFonts w:ascii="Times New Roman" w:hAnsi="Times New Roman"/>
                <w:sz w:val="24"/>
                <w:szCs w:val="24"/>
              </w:rPr>
              <w:t>Rada Libereckého kraje</w:t>
            </w:r>
          </w:p>
        </w:tc>
      </w:tr>
      <w:tr w:rsidR="00BC037D" w:rsidRPr="00CD7918" w14:paraId="5ECFE51E" w14:textId="77777777" w:rsidTr="00C130B7">
        <w:trPr>
          <w:trHeight w:val="433"/>
        </w:trPr>
        <w:tc>
          <w:tcPr>
            <w:tcW w:w="1560" w:type="dxa"/>
          </w:tcPr>
          <w:p w14:paraId="112A696C" w14:textId="13F0AFA5" w:rsidR="00BC037D" w:rsidRPr="00BB0BA2" w:rsidRDefault="00BC037D" w:rsidP="00C130B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VOS</w:t>
            </w:r>
          </w:p>
        </w:tc>
        <w:tc>
          <w:tcPr>
            <w:tcW w:w="7219" w:type="dxa"/>
            <w:vAlign w:val="center"/>
          </w:tcPr>
          <w:p w14:paraId="231B065D" w14:textId="67690FD5" w:rsidR="00BC037D" w:rsidRPr="00BB0BA2" w:rsidRDefault="00BC037D" w:rsidP="00C130B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Vnitřní oznamovací systém</w:t>
            </w:r>
          </w:p>
        </w:tc>
      </w:tr>
      <w:tr w:rsidR="00037046" w:rsidRPr="00CD7918" w14:paraId="02210F7F" w14:textId="77777777" w:rsidTr="00C130B7">
        <w:trPr>
          <w:trHeight w:val="433"/>
        </w:trPr>
        <w:tc>
          <w:tcPr>
            <w:tcW w:w="1560" w:type="dxa"/>
          </w:tcPr>
          <w:p w14:paraId="73AD8B85" w14:textId="5304ED78" w:rsidR="00037046" w:rsidRPr="00BB0BA2" w:rsidRDefault="00037046" w:rsidP="00037046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vAlign w:val="center"/>
          </w:tcPr>
          <w:p w14:paraId="63CE7310" w14:textId="3D50777E" w:rsidR="00037046" w:rsidRPr="00BB0BA2" w:rsidRDefault="00037046" w:rsidP="00037046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46" w:rsidRPr="00CD7918" w14:paraId="62D2710B" w14:textId="77777777" w:rsidTr="00C130B7">
        <w:trPr>
          <w:trHeight w:val="433"/>
        </w:trPr>
        <w:tc>
          <w:tcPr>
            <w:tcW w:w="1560" w:type="dxa"/>
          </w:tcPr>
          <w:p w14:paraId="38267523" w14:textId="3160A07C" w:rsidR="00037046" w:rsidRPr="00BB0BA2" w:rsidRDefault="00037046" w:rsidP="00037046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vAlign w:val="center"/>
          </w:tcPr>
          <w:p w14:paraId="36688566" w14:textId="7F17067B" w:rsidR="00037046" w:rsidRPr="00BB0BA2" w:rsidRDefault="00037046" w:rsidP="00037046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0617A2" w14:textId="0EDF16FE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1F81BCBB" w14:textId="4F321D16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5092B5F3" w14:textId="275B06C4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6A1F5EB9" w14:textId="5081D106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1F3CA9A6" w14:textId="7545104E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758F79B8" w14:textId="1C3D6B93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7B54B73F" w14:textId="7C06EBB6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308DA0D3" w14:textId="445F944C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21C8F2B1" w14:textId="351323ED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3A561AB5" w14:textId="144B62E7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2B1E06E5" w14:textId="39FB43E7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7768BE0C" w14:textId="084FB6FE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752BDFA6" w14:textId="2F2FD80B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597FF7D5" w14:textId="1D539E6B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2BF121E6" w14:textId="5CAE42C7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2444BE69" w14:textId="7C498E1E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2CDE1C25" w14:textId="5FEA8C09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440B11E2" w14:textId="77B9D20E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2EBC63D0" w14:textId="4491549E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1667FD01" w14:textId="4428A430" w:rsidR="00BC037D" w:rsidRDefault="00BC037D" w:rsidP="00F40A74">
      <w:pPr>
        <w:pStyle w:val="Nzev"/>
        <w:jc w:val="both"/>
        <w:rPr>
          <w:b w:val="0"/>
          <w:szCs w:val="24"/>
        </w:rPr>
      </w:pPr>
    </w:p>
    <w:p w14:paraId="662FA305" w14:textId="4C8DF200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7C89B526" w14:textId="49F77A20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3614F943" w14:textId="5DAB5ECC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1260A1B0" w14:textId="20278DCB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287768B5" w14:textId="07F8B7EE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6BB4E692" w14:textId="15FE6953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5C1B5969" w14:textId="2041FD32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1E9B17CB" w14:textId="3EEC9C2A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162FD3CC" w14:textId="43DCF919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0F4D1292" w14:textId="1ACE2064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70BD5C64" w14:textId="77777777" w:rsidR="00145F8C" w:rsidRDefault="00145F8C" w:rsidP="00F40A74">
      <w:pPr>
        <w:pStyle w:val="Nzev"/>
        <w:jc w:val="both"/>
        <w:rPr>
          <w:b w:val="0"/>
          <w:szCs w:val="24"/>
        </w:rPr>
      </w:pPr>
    </w:p>
    <w:p w14:paraId="2734C8F4" w14:textId="2F0E013F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4752A81A" w14:textId="4907BB98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48B4A15E" w14:textId="549F633F" w:rsidR="00F40A74" w:rsidRDefault="00F40A74" w:rsidP="00F40A74">
      <w:pPr>
        <w:pStyle w:val="Nzev"/>
        <w:jc w:val="both"/>
        <w:rPr>
          <w:b w:val="0"/>
          <w:szCs w:val="24"/>
        </w:rPr>
      </w:pPr>
    </w:p>
    <w:p w14:paraId="07B08C92" w14:textId="57A06AC8" w:rsidR="007A1C42" w:rsidRDefault="007A1C42" w:rsidP="007A1C42">
      <w:pPr>
        <w:pStyle w:val="Nadpis1"/>
        <w:keepNext w:val="0"/>
        <w:numPr>
          <w:ilvl w:val="0"/>
          <w:numId w:val="1"/>
        </w:numPr>
        <w:tabs>
          <w:tab w:val="num" w:pos="360"/>
        </w:tabs>
        <w:spacing w:after="120"/>
        <w:ind w:left="0" w:firstLine="0"/>
      </w:pPr>
      <w:bookmarkStart w:id="0" w:name="_Toc18574012"/>
      <w:bookmarkStart w:id="1" w:name="_Toc89083168"/>
      <w:r>
        <w:lastRenderedPageBreak/>
        <w:t>Úvodní ustanovení</w:t>
      </w:r>
      <w:bookmarkEnd w:id="0"/>
      <w:bookmarkEnd w:id="1"/>
    </w:p>
    <w:p w14:paraId="402D54A5" w14:textId="0750CC18" w:rsidR="007A1C42" w:rsidRDefault="007A1C42" w:rsidP="009A0BB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37046">
        <w:rPr>
          <w:rFonts w:ascii="Times New Roman" w:hAnsi="Times New Roman" w:cs="Times New Roman"/>
          <w:sz w:val="24"/>
          <w:szCs w:val="24"/>
          <w:lang w:eastAsia="cs-CZ"/>
        </w:rPr>
        <w:t xml:space="preserve">Tato směrnice upravuje </w:t>
      </w:r>
      <w:r w:rsidR="00BC037D">
        <w:rPr>
          <w:rFonts w:ascii="Times New Roman" w:hAnsi="Times New Roman" w:cs="Times New Roman"/>
          <w:sz w:val="24"/>
          <w:szCs w:val="24"/>
          <w:lang w:eastAsia="cs-CZ"/>
        </w:rPr>
        <w:t xml:space="preserve">postupy při aplikaci </w:t>
      </w:r>
      <w:r w:rsidR="00BC037D">
        <w:rPr>
          <w:rFonts w:ascii="Times New Roman" w:hAnsi="Times New Roman"/>
          <w:sz w:val="24"/>
          <w:szCs w:val="24"/>
        </w:rPr>
        <w:t>Směrnice</w:t>
      </w:r>
      <w:r w:rsidR="00BC037D" w:rsidRPr="00C41029">
        <w:rPr>
          <w:rFonts w:ascii="Times New Roman" w:hAnsi="Times New Roman"/>
          <w:sz w:val="24"/>
          <w:szCs w:val="24"/>
        </w:rPr>
        <w:t xml:space="preserve"> Evropského parlamentu a </w:t>
      </w:r>
      <w:r w:rsidR="00BC037D">
        <w:rPr>
          <w:rFonts w:ascii="Times New Roman" w:hAnsi="Times New Roman"/>
          <w:sz w:val="24"/>
          <w:szCs w:val="24"/>
        </w:rPr>
        <w:t>R</w:t>
      </w:r>
      <w:r w:rsidR="00BC037D" w:rsidRPr="00C41029">
        <w:rPr>
          <w:rFonts w:ascii="Times New Roman" w:hAnsi="Times New Roman"/>
          <w:sz w:val="24"/>
          <w:szCs w:val="24"/>
        </w:rPr>
        <w:t xml:space="preserve">ady </w:t>
      </w:r>
      <w:r w:rsidR="00BC037D">
        <w:rPr>
          <w:rFonts w:ascii="Times New Roman" w:hAnsi="Times New Roman"/>
          <w:sz w:val="24"/>
          <w:szCs w:val="24"/>
        </w:rPr>
        <w:t>(EU)</w:t>
      </w:r>
      <w:r w:rsidR="00BC037D" w:rsidRPr="00C41029">
        <w:rPr>
          <w:rFonts w:ascii="Times New Roman" w:hAnsi="Times New Roman"/>
          <w:sz w:val="24"/>
          <w:szCs w:val="24"/>
        </w:rPr>
        <w:t xml:space="preserve"> 201</w:t>
      </w:r>
      <w:r w:rsidR="00BC037D">
        <w:rPr>
          <w:rFonts w:ascii="Times New Roman" w:hAnsi="Times New Roman"/>
          <w:sz w:val="24"/>
          <w:szCs w:val="24"/>
        </w:rPr>
        <w:t>9</w:t>
      </w:r>
      <w:r w:rsidR="00BC037D" w:rsidRPr="00C41029">
        <w:rPr>
          <w:rFonts w:ascii="Times New Roman" w:hAnsi="Times New Roman"/>
          <w:sz w:val="24"/>
          <w:szCs w:val="24"/>
        </w:rPr>
        <w:t>/</w:t>
      </w:r>
      <w:r w:rsidR="00BC037D">
        <w:rPr>
          <w:rFonts w:ascii="Times New Roman" w:hAnsi="Times New Roman"/>
          <w:sz w:val="24"/>
          <w:szCs w:val="24"/>
        </w:rPr>
        <w:t>193</w:t>
      </w:r>
      <w:r w:rsidR="00035B52">
        <w:rPr>
          <w:rFonts w:ascii="Times New Roman" w:hAnsi="Times New Roman"/>
          <w:sz w:val="24"/>
          <w:szCs w:val="24"/>
        </w:rPr>
        <w:t>7</w:t>
      </w:r>
      <w:r w:rsidR="00BC037D" w:rsidRPr="00C41029">
        <w:rPr>
          <w:rFonts w:ascii="Times New Roman" w:hAnsi="Times New Roman"/>
          <w:sz w:val="24"/>
          <w:szCs w:val="24"/>
        </w:rPr>
        <w:t xml:space="preserve"> ze dne 2</w:t>
      </w:r>
      <w:r w:rsidR="00BC037D">
        <w:rPr>
          <w:rFonts w:ascii="Times New Roman" w:hAnsi="Times New Roman"/>
          <w:sz w:val="24"/>
          <w:szCs w:val="24"/>
        </w:rPr>
        <w:t>3</w:t>
      </w:r>
      <w:r w:rsidR="00BC037D" w:rsidRPr="00C41029">
        <w:rPr>
          <w:rFonts w:ascii="Times New Roman" w:hAnsi="Times New Roman"/>
          <w:sz w:val="24"/>
          <w:szCs w:val="24"/>
        </w:rPr>
        <w:t xml:space="preserve">. </w:t>
      </w:r>
      <w:r w:rsidR="00BC037D">
        <w:rPr>
          <w:rFonts w:ascii="Times New Roman" w:hAnsi="Times New Roman"/>
          <w:sz w:val="24"/>
          <w:szCs w:val="24"/>
        </w:rPr>
        <w:t>říj</w:t>
      </w:r>
      <w:r w:rsidR="00BC037D" w:rsidRPr="00C41029">
        <w:rPr>
          <w:rFonts w:ascii="Times New Roman" w:hAnsi="Times New Roman"/>
          <w:sz w:val="24"/>
          <w:szCs w:val="24"/>
        </w:rPr>
        <w:t>na 201</w:t>
      </w:r>
      <w:r w:rsidR="00BC037D">
        <w:rPr>
          <w:rFonts w:ascii="Times New Roman" w:hAnsi="Times New Roman"/>
          <w:sz w:val="24"/>
          <w:szCs w:val="24"/>
        </w:rPr>
        <w:t>9</w:t>
      </w:r>
      <w:r w:rsidR="00BC037D" w:rsidRPr="00C41029">
        <w:rPr>
          <w:rFonts w:ascii="Times New Roman" w:hAnsi="Times New Roman"/>
          <w:sz w:val="24"/>
          <w:szCs w:val="24"/>
        </w:rPr>
        <w:t xml:space="preserve"> o </w:t>
      </w:r>
      <w:r w:rsidR="00BC037D">
        <w:rPr>
          <w:rFonts w:ascii="Times New Roman" w:hAnsi="Times New Roman"/>
          <w:sz w:val="24"/>
          <w:szCs w:val="24"/>
        </w:rPr>
        <w:t>ochraně osob, které oznamují porušení práva Unie (dále jen „Směrnice“)</w:t>
      </w:r>
      <w:r w:rsidR="00D33400">
        <w:rPr>
          <w:rFonts w:ascii="Times New Roman" w:hAnsi="Times New Roman"/>
          <w:sz w:val="24"/>
          <w:szCs w:val="24"/>
        </w:rPr>
        <w:t>.</w:t>
      </w:r>
    </w:p>
    <w:p w14:paraId="32DAE7B3" w14:textId="3C49731D" w:rsidR="00D33400" w:rsidRDefault="00D33400" w:rsidP="009A0BB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Hlavním cílem ochrany </w:t>
      </w:r>
      <w:r w:rsidR="005770B6">
        <w:rPr>
          <w:rFonts w:ascii="Times New Roman" w:hAnsi="Times New Roman"/>
          <w:sz w:val="24"/>
          <w:szCs w:val="24"/>
        </w:rPr>
        <w:t xml:space="preserve">oznamovatelů </w:t>
      </w:r>
      <w:r w:rsidR="005770B6" w:rsidRPr="005770B6">
        <w:rPr>
          <w:rFonts w:ascii="Times New Roman" w:hAnsi="Times New Roman" w:cs="Times New Roman"/>
          <w:sz w:val="24"/>
          <w:szCs w:val="24"/>
        </w:rPr>
        <w:t>je umožnit odhalovat protiprávní jednání odehrávající se na pracovišti nebo při výkonu pracovní (či jiné obdobné) činnosti, o kterých zaměstnanci a</w:t>
      </w:r>
      <w:r w:rsidR="00DD3BD6">
        <w:rPr>
          <w:rFonts w:ascii="Times New Roman" w:hAnsi="Times New Roman" w:cs="Times New Roman"/>
          <w:sz w:val="24"/>
          <w:szCs w:val="24"/>
        </w:rPr>
        <w:t> </w:t>
      </w:r>
      <w:r w:rsidR="005770B6" w:rsidRPr="005770B6">
        <w:rPr>
          <w:rFonts w:ascii="Times New Roman" w:hAnsi="Times New Roman" w:cs="Times New Roman"/>
          <w:sz w:val="24"/>
          <w:szCs w:val="24"/>
        </w:rPr>
        <w:t>osoby v podobném postavení za normálních okolností zaměstnavatele nebo příslušné státní orgány neinformují, a to zejména ze strachu ze ztráty zaměstnání či jiného postihu. Může se však jednat i o oznámení jiného protiprávního jednání, které s činností zaměstnavatele nesouvisí, nicméně oznamovatel se o něm dozvěděl v souvislosti s prací.</w:t>
      </w:r>
      <w:r w:rsidR="005770B6">
        <w:rPr>
          <w:b/>
          <w:bCs/>
          <w:sz w:val="23"/>
          <w:szCs w:val="23"/>
        </w:rPr>
        <w:t xml:space="preserve"> </w:t>
      </w:r>
      <w:r w:rsidR="005770B6">
        <w:rPr>
          <w:rFonts w:ascii="Times New Roman" w:hAnsi="Times New Roman"/>
          <w:sz w:val="24"/>
          <w:szCs w:val="24"/>
        </w:rPr>
        <w:t xml:space="preserve"> </w:t>
      </w:r>
    </w:p>
    <w:p w14:paraId="25B89253" w14:textId="5A334B3A" w:rsidR="005770B6" w:rsidRPr="005770B6" w:rsidRDefault="005770B6" w:rsidP="009A0BB4">
      <w:pPr>
        <w:jc w:val="both"/>
        <w:rPr>
          <w:rFonts w:ascii="Times New Roman" w:hAnsi="Times New Roman" w:cs="Times New Roman"/>
          <w:sz w:val="24"/>
          <w:szCs w:val="24"/>
        </w:rPr>
      </w:pPr>
      <w:r w:rsidRPr="005770B6">
        <w:rPr>
          <w:rFonts w:ascii="Times New Roman" w:hAnsi="Times New Roman" w:cs="Times New Roman"/>
          <w:sz w:val="24"/>
          <w:szCs w:val="24"/>
        </w:rPr>
        <w:t>Směrnice poskytuje ochranu všem kategoriím „pracovníků“, včetně osob samostatně výdělečně činných, dobrovolníků, stážistů, uchazečů o zaměstnání a dalších osob, které se pohybují v</w:t>
      </w:r>
      <w:r w:rsidR="00DD3BD6">
        <w:rPr>
          <w:rFonts w:ascii="Times New Roman" w:hAnsi="Times New Roman" w:cs="Times New Roman"/>
          <w:sz w:val="24"/>
          <w:szCs w:val="24"/>
        </w:rPr>
        <w:t> </w:t>
      </w:r>
      <w:r w:rsidRPr="005770B6">
        <w:rPr>
          <w:rFonts w:ascii="Times New Roman" w:hAnsi="Times New Roman" w:cs="Times New Roman"/>
          <w:sz w:val="24"/>
          <w:szCs w:val="24"/>
        </w:rPr>
        <w:t>pracovním prostředí konkrétního zaměstnavatele. Pokryto tak musí být široké spektrum pracovních činností (práce nebo jiné obdobné činnosti), aby byli zahrnuti oznamovatelé, kteří jsou v různých stádiích pracovního procesu možným deliktům nejblíže.</w:t>
      </w:r>
    </w:p>
    <w:p w14:paraId="68853FFE" w14:textId="219B58B4" w:rsidR="00BC037D" w:rsidRDefault="00BC037D" w:rsidP="00BC037D">
      <w:pPr>
        <w:pStyle w:val="Nadpis2"/>
        <w:keepNext w:val="0"/>
        <w:numPr>
          <w:ilvl w:val="0"/>
          <w:numId w:val="2"/>
        </w:numPr>
        <w:tabs>
          <w:tab w:val="num" w:pos="360"/>
        </w:tabs>
        <w:spacing w:after="120"/>
        <w:ind w:left="0" w:firstLine="0"/>
        <w:jc w:val="both"/>
      </w:pPr>
      <w:bookmarkStart w:id="2" w:name="_Toc18574013"/>
      <w:bookmarkStart w:id="3" w:name="_Toc89083169"/>
      <w:r>
        <w:t xml:space="preserve">Základní </w:t>
      </w:r>
      <w:bookmarkEnd w:id="2"/>
      <w:r>
        <w:t>pojmy</w:t>
      </w:r>
      <w:bookmarkEnd w:id="3"/>
    </w:p>
    <w:p w14:paraId="5FA6C36F" w14:textId="43FB1D1E" w:rsidR="00BC037D" w:rsidRPr="00D33400" w:rsidRDefault="00D42ECD" w:rsidP="00BC03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3400">
        <w:rPr>
          <w:rFonts w:ascii="Times New Roman" w:hAnsi="Times New Roman" w:cs="Times New Roman"/>
          <w:b/>
          <w:bCs/>
          <w:sz w:val="24"/>
          <w:szCs w:val="24"/>
        </w:rPr>
        <w:t>Oznamovatel</w:t>
      </w:r>
    </w:p>
    <w:p w14:paraId="7911D18A" w14:textId="5604149E" w:rsidR="00BC037D" w:rsidRDefault="00B93D61" w:rsidP="009A0BB4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je</w:t>
      </w:r>
      <w:r w:rsidR="00D42ECD">
        <w:rPr>
          <w:rFonts w:ascii="Times New Roman" w:hAnsi="Times New Roman" w:cs="Times New Roman"/>
          <w:sz w:val="24"/>
          <w:szCs w:val="24"/>
          <w:lang w:eastAsia="cs-CZ"/>
        </w:rPr>
        <w:t xml:space="preserve"> ve smyslu Směrnice fyzická osoba, která se v souvislosti s prací nebo jinou obdobnou činností dozvěděla o protiprávním jednání, které porušuje</w:t>
      </w:r>
      <w:r w:rsidR="00D3340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42ECD">
        <w:rPr>
          <w:rFonts w:ascii="Times New Roman" w:hAnsi="Times New Roman" w:cs="Times New Roman"/>
          <w:sz w:val="24"/>
          <w:szCs w:val="24"/>
          <w:lang w:eastAsia="cs-CZ"/>
        </w:rPr>
        <w:t>právní předpis spadající do jedné z oblastí vymezených Směrnicí</w:t>
      </w:r>
      <w:r w:rsidR="00D33400">
        <w:rPr>
          <w:rFonts w:ascii="Times New Roman" w:hAnsi="Times New Roman" w:cs="Times New Roman"/>
          <w:sz w:val="24"/>
          <w:szCs w:val="24"/>
          <w:lang w:eastAsia="cs-CZ"/>
        </w:rPr>
        <w:t xml:space="preserve"> a tuto skutečnost oznámila prostřednictvím VOS, EOS nebo uveřejněním, případně přímo příslušným orgánům veřejné moci (např. policejní orgán, státní zástupce, orgán správního trestání).</w:t>
      </w:r>
    </w:p>
    <w:p w14:paraId="7597C487" w14:textId="1A996F6C" w:rsidR="00AD224B" w:rsidRDefault="00AD224B" w:rsidP="009A0BB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D224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Příslušná osoba</w:t>
      </w:r>
    </w:p>
    <w:p w14:paraId="0B544B5E" w14:textId="118C8013" w:rsidR="00AD224B" w:rsidRPr="00AD224B" w:rsidRDefault="00AD224B" w:rsidP="009A0BB4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je osoba odpovědná za přijímání oznámení prostřednictvím VOS a nakládání s n</w:t>
      </w:r>
      <w:r w:rsidR="001B1AF5">
        <w:rPr>
          <w:rFonts w:ascii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1B1AF5">
        <w:rPr>
          <w:rFonts w:ascii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0AB4A57" w14:textId="13CEDD5C" w:rsidR="00BC276A" w:rsidRPr="00BC276A" w:rsidRDefault="00BC276A" w:rsidP="009A0BB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C27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Vnitřní oznamovací systém (VOS)</w:t>
      </w:r>
    </w:p>
    <w:p w14:paraId="020EC347" w14:textId="4C5A07D7" w:rsidR="00BC276A" w:rsidRDefault="00BE4DFF" w:rsidP="009A0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představuje</w:t>
      </w:r>
      <w:r w:rsidR="00BC276A">
        <w:rPr>
          <w:rFonts w:ascii="Times New Roman" w:hAnsi="Times New Roman" w:cs="Times New Roman"/>
          <w:sz w:val="24"/>
          <w:szCs w:val="24"/>
          <w:lang w:eastAsia="cs-CZ"/>
        </w:rPr>
        <w:t xml:space="preserve"> souhrn postupů </w:t>
      </w:r>
      <w:r w:rsidR="00BC276A" w:rsidRPr="00BC276A">
        <w:rPr>
          <w:rFonts w:ascii="Times New Roman" w:hAnsi="Times New Roman" w:cs="Times New Roman"/>
          <w:sz w:val="24"/>
          <w:szCs w:val="24"/>
        </w:rPr>
        <w:t>a nástrojů, které slouží k přijímání oznámení, nakládání s ním, ochraně totožnosti oznamovatele a dalších osob, ochraně informací uvedených v oznámení a</w:t>
      </w:r>
      <w:r w:rsidR="00DD3BD6">
        <w:rPr>
          <w:rFonts w:ascii="Times New Roman" w:hAnsi="Times New Roman" w:cs="Times New Roman"/>
          <w:sz w:val="24"/>
          <w:szCs w:val="24"/>
        </w:rPr>
        <w:t> </w:t>
      </w:r>
      <w:r w:rsidR="00BC276A" w:rsidRPr="00BC276A">
        <w:rPr>
          <w:rFonts w:ascii="Times New Roman" w:hAnsi="Times New Roman" w:cs="Times New Roman"/>
          <w:sz w:val="24"/>
          <w:szCs w:val="24"/>
        </w:rPr>
        <w:t>komunikaci s oznamovatelem.</w:t>
      </w:r>
    </w:p>
    <w:p w14:paraId="6B74CFE1" w14:textId="0F4D9306" w:rsidR="00BE4DFF" w:rsidRPr="009A0BB4" w:rsidRDefault="00BE4DFF" w:rsidP="009A0B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BB4">
        <w:rPr>
          <w:rFonts w:ascii="Times New Roman" w:hAnsi="Times New Roman" w:cs="Times New Roman"/>
          <w:b/>
          <w:bCs/>
          <w:sz w:val="24"/>
          <w:szCs w:val="24"/>
        </w:rPr>
        <w:t>Externí oznamovací systém (EOS)</w:t>
      </w:r>
    </w:p>
    <w:p w14:paraId="2E0E0959" w14:textId="32039292" w:rsidR="00BE4DFF" w:rsidRDefault="009A0BB4" w:rsidP="009A0BB4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je zřízen Ministerstvem spravedlnosti pro příjem a posuzování oznámení.</w:t>
      </w:r>
    </w:p>
    <w:p w14:paraId="057E9EBA" w14:textId="7C02B9E7" w:rsidR="00D33400" w:rsidRDefault="005770B6" w:rsidP="009A0B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0B6">
        <w:rPr>
          <w:rFonts w:ascii="Times New Roman" w:hAnsi="Times New Roman" w:cs="Times New Roman"/>
          <w:b/>
          <w:bCs/>
          <w:sz w:val="24"/>
          <w:szCs w:val="24"/>
        </w:rPr>
        <w:t>Oblasti, kterých se musí oznamované protiprávní jednání týkat</w:t>
      </w:r>
    </w:p>
    <w:p w14:paraId="28FD7455" w14:textId="2A90B9D6" w:rsidR="005770B6" w:rsidRPr="00C221C4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t>zadávání veřejných zakázek</w:t>
      </w:r>
      <w:r w:rsidR="00FB33D8">
        <w:t>,</w:t>
      </w:r>
    </w:p>
    <w:p w14:paraId="1E64AC8F" w14:textId="737EF203" w:rsidR="005770B6" w:rsidRPr="00C221C4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t>finanční služby, produkty a trhy a předcházení praní peněz a financování terorismu</w:t>
      </w:r>
      <w:r w:rsidR="00FB33D8">
        <w:t>,</w:t>
      </w:r>
    </w:p>
    <w:p w14:paraId="173CAEF6" w14:textId="6C9D160B" w:rsidR="005770B6" w:rsidRPr="00C221C4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t>bezpečnost a soulad výrobků s</w:t>
      </w:r>
      <w:r w:rsidR="00FB33D8">
        <w:t> </w:t>
      </w:r>
      <w:r w:rsidRPr="00C221C4">
        <w:t>předpisy</w:t>
      </w:r>
      <w:r w:rsidR="00FB33D8">
        <w:t>,</w:t>
      </w:r>
    </w:p>
    <w:p w14:paraId="0E10D203" w14:textId="2DA8995B" w:rsidR="005770B6" w:rsidRPr="00C221C4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t>bezpečnost dopravy</w:t>
      </w:r>
      <w:r w:rsidR="00FB33D8">
        <w:t>,</w:t>
      </w:r>
    </w:p>
    <w:p w14:paraId="36556ADF" w14:textId="1E101956" w:rsidR="005770B6" w:rsidRPr="00C221C4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t>ochrana životního prostředí</w:t>
      </w:r>
      <w:r w:rsidR="00FB33D8">
        <w:t>,</w:t>
      </w:r>
    </w:p>
    <w:p w14:paraId="05F1C62E" w14:textId="5E8357AE" w:rsidR="005770B6" w:rsidRPr="00C221C4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t>radiační ochrana a jaderná bezpečnost</w:t>
      </w:r>
      <w:r w:rsidR="00FB33D8">
        <w:t>,</w:t>
      </w:r>
    </w:p>
    <w:p w14:paraId="274C8C08" w14:textId="0F4EE7B2" w:rsidR="005770B6" w:rsidRPr="00C221C4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t>bezpečnost potravin a krmiv, zdraví a dobré životní podmínky zvířat</w:t>
      </w:r>
      <w:r w:rsidR="00FB33D8">
        <w:t>,</w:t>
      </w:r>
    </w:p>
    <w:p w14:paraId="3EA4E706" w14:textId="7902910D" w:rsidR="005770B6" w:rsidRPr="00C221C4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t>veřejné zdraví</w:t>
      </w:r>
      <w:r w:rsidR="00FB33D8">
        <w:t>,</w:t>
      </w:r>
    </w:p>
    <w:p w14:paraId="573F9C08" w14:textId="27F51391" w:rsidR="005770B6" w:rsidRDefault="005770B6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 w:rsidRPr="00C221C4">
        <w:lastRenderedPageBreak/>
        <w:t xml:space="preserve">ochrana spotřebitele a </w:t>
      </w:r>
    </w:p>
    <w:p w14:paraId="7FFC69C1" w14:textId="1D91E028" w:rsidR="003F0D09" w:rsidRPr="00C221C4" w:rsidRDefault="003F0D09" w:rsidP="003F0D09">
      <w:pPr>
        <w:pStyle w:val="Default"/>
        <w:numPr>
          <w:ilvl w:val="0"/>
          <w:numId w:val="15"/>
        </w:numPr>
        <w:spacing w:after="49"/>
        <w:ind w:left="1080" w:hanging="720"/>
        <w:jc w:val="both"/>
      </w:pPr>
      <w:r>
        <w:t>ochrana soukromí a osobních údajů a bezpečnost sítí a informačních systémů</w:t>
      </w:r>
      <w:r w:rsidR="00E82D9A">
        <w:t>.</w:t>
      </w:r>
    </w:p>
    <w:p w14:paraId="42FFD88D" w14:textId="6C236726" w:rsidR="00B93D61" w:rsidRDefault="00B93D61" w:rsidP="009A0BB4">
      <w:pPr>
        <w:pStyle w:val="Default"/>
        <w:jc w:val="both"/>
        <w:rPr>
          <w:sz w:val="23"/>
          <w:szCs w:val="23"/>
        </w:rPr>
      </w:pPr>
    </w:p>
    <w:p w14:paraId="0C6597E7" w14:textId="09B80188" w:rsidR="00B93D61" w:rsidRPr="00D33400" w:rsidRDefault="00B93D61" w:rsidP="009A0B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Uveřejnění</w:t>
      </w:r>
    </w:p>
    <w:p w14:paraId="0567EEC5" w14:textId="025EDE95" w:rsidR="00B93D61" w:rsidRPr="00B93D61" w:rsidRDefault="00B93D61" w:rsidP="009A0BB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D61">
        <w:rPr>
          <w:rFonts w:ascii="Times New Roman" w:hAnsi="Times New Roman" w:cs="Times New Roman"/>
          <w:color w:val="000000"/>
          <w:sz w:val="24"/>
          <w:szCs w:val="24"/>
        </w:rPr>
        <w:t>Uveřejněním se rozumí jakékoliv zpřístupnění informací uvedených v oznámení veřejnosti, t</w:t>
      </w:r>
      <w:r w:rsidR="00F20C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E4E5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20C4D">
        <w:rPr>
          <w:rFonts w:ascii="Times New Roman" w:hAnsi="Times New Roman" w:cs="Times New Roman"/>
          <w:color w:val="000000"/>
          <w:sz w:val="24"/>
          <w:szCs w:val="24"/>
        </w:rPr>
        <w:t>znamená</w:t>
      </w:r>
      <w:r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 například prostřednictvím sociální sítě, příspěvku v médiích či na internetových stránkách. Pojem veřejnosti je třeba posuzovat podle konkrétních okolností případu, nicméně půjde o</w:t>
      </w:r>
      <w:r w:rsidR="00E82D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zpřístupnění oznámení většímu počtu osob. </w:t>
      </w:r>
    </w:p>
    <w:p w14:paraId="7F3FA3E0" w14:textId="00E42ACD" w:rsidR="00B93D61" w:rsidRPr="00B93D61" w:rsidRDefault="00B93D61" w:rsidP="00527ED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D61">
        <w:rPr>
          <w:rFonts w:ascii="Times New Roman" w:hAnsi="Times New Roman" w:cs="Times New Roman"/>
          <w:color w:val="000000"/>
          <w:sz w:val="24"/>
          <w:szCs w:val="24"/>
        </w:rPr>
        <w:t>Oznamovatel může oznámení uveřejnit, nastane-li jeden z níže uvedených případů</w:t>
      </w:r>
      <w:r w:rsidR="00527ED2" w:rsidRPr="00C221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7EBDF0" w14:textId="4F42C918" w:rsidR="00B93D61" w:rsidRPr="00B93D61" w:rsidRDefault="00464B8E" w:rsidP="00464B8E">
      <w:pPr>
        <w:numPr>
          <w:ilvl w:val="0"/>
          <w:numId w:val="4"/>
        </w:numPr>
        <w:spacing w:after="120" w:line="240" w:lineRule="auto"/>
        <w:ind w:left="107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 návaznosti na podané oznámení nebylo ve stanovených lhůtách přijato vhodné opatření. Půjde typicky o případy, kdy přijetí oznámení bylo odepřeno nebo oznámení nebylo posouzeno z hlediska své důvodnosti a pravdivosti, popř</w:t>
      </w:r>
      <w:r w:rsidR="00FA5643">
        <w:rPr>
          <w:rFonts w:ascii="Times New Roman" w:hAnsi="Times New Roman" w:cs="Times New Roman"/>
          <w:color w:val="000000"/>
          <w:sz w:val="24"/>
          <w:szCs w:val="24"/>
        </w:rPr>
        <w:t>ípadě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7147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>případy, kdy povinný subjekt návazně na podané oznámení nepřijal žádné vhodné opatření k předejití nebo nápravě protiprávního stavu</w:t>
      </w:r>
      <w:r w:rsidR="00FA56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4979E0" w14:textId="194D9B4B" w:rsidR="00B93D61" w:rsidRPr="00B93D61" w:rsidRDefault="00464B8E" w:rsidP="00464B8E">
      <w:pPr>
        <w:numPr>
          <w:ilvl w:val="0"/>
          <w:numId w:val="4"/>
        </w:numPr>
        <w:spacing w:after="120" w:line="240" w:lineRule="auto"/>
        <w:ind w:left="107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>ečinností oznamovatele by mohlo dojít k ohrožení významného veřejného zájmu, např</w:t>
      </w:r>
      <w:r w:rsidR="00E82D9A">
        <w:rPr>
          <w:rFonts w:ascii="Times New Roman" w:hAnsi="Times New Roman" w:cs="Times New Roman"/>
          <w:color w:val="000000"/>
          <w:sz w:val="24"/>
          <w:szCs w:val="24"/>
        </w:rPr>
        <w:t>íklad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E82D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>důvodu nebezpečí z prodlení. Může se jednat např. o oblast ochrany jaderné bezpečnosti, veřejného zdraví či životního prostředí. Spadají sem zejména situace, kdy je dáno riziko vzniku nenapravitelné újmy, tedy takové, kterou nebude možné odčinit uvedením do předešlého sta</w:t>
      </w:r>
      <w:r w:rsidR="007147C5">
        <w:rPr>
          <w:rFonts w:ascii="Times New Roman" w:hAnsi="Times New Roman" w:cs="Times New Roman"/>
          <w:color w:val="000000"/>
          <w:sz w:val="24"/>
          <w:szCs w:val="24"/>
        </w:rPr>
        <w:t>vu,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D57079" w14:textId="61F099B7" w:rsidR="00B93D61" w:rsidRPr="00B93D61" w:rsidRDefault="00464B8E" w:rsidP="00464B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>ení možné bez podstoupení zvýšeného rizika (například zničení důkazů, maření řádného posouzení oznámení či postihu oznamovatele) podat oznámení u</w:t>
      </w:r>
      <w:r w:rsidR="007147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3D61" w:rsidRPr="00B93D61">
        <w:rPr>
          <w:rFonts w:ascii="Times New Roman" w:hAnsi="Times New Roman" w:cs="Times New Roman"/>
          <w:color w:val="000000"/>
          <w:sz w:val="24"/>
          <w:szCs w:val="24"/>
        </w:rPr>
        <w:t xml:space="preserve">Ministerstva spravedlnosti. </w:t>
      </w:r>
    </w:p>
    <w:p w14:paraId="73B4F837" w14:textId="77777777" w:rsidR="00B93D61" w:rsidRPr="00B93D61" w:rsidRDefault="00B93D61" w:rsidP="009A0BB4">
      <w:pPr>
        <w:pStyle w:val="Default"/>
        <w:jc w:val="both"/>
        <w:rPr>
          <w:sz w:val="23"/>
          <w:szCs w:val="23"/>
        </w:rPr>
      </w:pPr>
    </w:p>
    <w:p w14:paraId="3510129F" w14:textId="3D6B5FD7" w:rsidR="005770B6" w:rsidRDefault="005770B6" w:rsidP="009A0BB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5770B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Výjimky z možnosti oznamovat</w:t>
      </w:r>
    </w:p>
    <w:p w14:paraId="78B8B189" w14:textId="4C3E0AEC" w:rsidR="005770B6" w:rsidRPr="005770B6" w:rsidRDefault="00B93D61" w:rsidP="009A0BB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1C4">
        <w:rPr>
          <w:rFonts w:ascii="Times New Roman" w:hAnsi="Times New Roman" w:cs="Times New Roman"/>
          <w:color w:val="000000"/>
          <w:sz w:val="24"/>
          <w:szCs w:val="24"/>
        </w:rPr>
        <w:t xml:space="preserve">Oznamovat nelze </w:t>
      </w:r>
      <w:r w:rsidR="005770B6" w:rsidRPr="00C221C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770B6" w:rsidRPr="005770B6">
        <w:rPr>
          <w:rFonts w:ascii="Times New Roman" w:hAnsi="Times New Roman" w:cs="Times New Roman"/>
          <w:color w:val="000000"/>
          <w:sz w:val="24"/>
          <w:szCs w:val="24"/>
        </w:rPr>
        <w:t>rčité typy informací, u kterých zájem na jejich ochraně převažuje nad zájmem na ochraně oznamovatele. Takovými informacemi jsou informace, které by mohly bezprostředně ohrozit podstatný bezpečnostní zájem České republiky a informace o činnosti zpravodajských služeb.</w:t>
      </w:r>
    </w:p>
    <w:p w14:paraId="2367C2CA" w14:textId="77777777" w:rsidR="005770B6" w:rsidRPr="005770B6" w:rsidRDefault="005770B6" w:rsidP="009A0B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B6">
        <w:rPr>
          <w:rFonts w:ascii="Times New Roman" w:hAnsi="Times New Roman" w:cs="Times New Roman"/>
          <w:sz w:val="24"/>
          <w:szCs w:val="24"/>
        </w:rPr>
        <w:t xml:space="preserve">Dále nelze oznamovat skutečnosti, na které se vztahuje povinnost zachovávat ochranu utajovaných informací a informací, jejichž vyzrazení by zjevně mohlo ohrozit probíhající trestní řízení, a dále zvláštní skutečnosti podléhající ochraně podle zákona upravujícího krizové řízení. </w:t>
      </w:r>
    </w:p>
    <w:p w14:paraId="5EA8842A" w14:textId="720C91A3" w:rsidR="005770B6" w:rsidRPr="005770B6" w:rsidRDefault="005770B6" w:rsidP="009A0B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B6">
        <w:rPr>
          <w:rFonts w:ascii="Times New Roman" w:hAnsi="Times New Roman" w:cs="Times New Roman"/>
          <w:sz w:val="24"/>
          <w:szCs w:val="24"/>
        </w:rPr>
        <w:t>Oznamovatel také nesmí porušit povinnost mlčenlivosti při výkonu činnosti notáře, notářského kandidáta a koncipienta, státního zástupce, asistenta a právního čekatele, advokáta a</w:t>
      </w:r>
      <w:r w:rsidR="00E82D9A">
        <w:rPr>
          <w:rFonts w:ascii="Times New Roman" w:hAnsi="Times New Roman" w:cs="Times New Roman"/>
          <w:sz w:val="24"/>
          <w:szCs w:val="24"/>
        </w:rPr>
        <w:t> </w:t>
      </w:r>
      <w:r w:rsidRPr="005770B6">
        <w:rPr>
          <w:rFonts w:ascii="Times New Roman" w:hAnsi="Times New Roman" w:cs="Times New Roman"/>
          <w:sz w:val="24"/>
          <w:szCs w:val="24"/>
        </w:rPr>
        <w:t xml:space="preserve">advokátního koncipienta, soudního exekutora, exekutorského kandidáta a koncipienta, soudce, asistenta soudce, justičního čekatele a daňového poradce a mlčenlivosti zaměstnance notáře, advokáta, soudního exekutora a daňového poradce, nebo mlčenlivosti při poskytování zdravotních služeb. </w:t>
      </w:r>
    </w:p>
    <w:p w14:paraId="5B4886EE" w14:textId="01E335B9" w:rsidR="005770B6" w:rsidRPr="00C221C4" w:rsidRDefault="005770B6" w:rsidP="009A0BB4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221C4">
        <w:rPr>
          <w:rFonts w:ascii="Times New Roman" w:hAnsi="Times New Roman" w:cs="Times New Roman"/>
          <w:sz w:val="24"/>
          <w:szCs w:val="24"/>
        </w:rPr>
        <w:t>Oznamovateli, který poruší důvěrnost uvedených informací nebo uvedené povinnosti mlčenlivosti, nenáleží ochrana. Takový oznamovatel také může být postižen pro protiprávní jednání, kterého se tím dopustil.</w:t>
      </w:r>
    </w:p>
    <w:p w14:paraId="7AFB4AB9" w14:textId="74E4093D" w:rsidR="00D42ECD" w:rsidRPr="00E44C5B" w:rsidRDefault="00E44C5B" w:rsidP="009A0BB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44C5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Odvetná opatření</w:t>
      </w:r>
    </w:p>
    <w:p w14:paraId="7051336D" w14:textId="7A1B7FDF" w:rsidR="00F40A74" w:rsidRDefault="006911A9" w:rsidP="009A0BB4">
      <w:pPr>
        <w:pStyle w:val="Nzev"/>
        <w:spacing w:after="120"/>
        <w:jc w:val="both"/>
        <w:rPr>
          <w:b w:val="0"/>
          <w:szCs w:val="24"/>
        </w:rPr>
      </w:pPr>
      <w:r w:rsidRPr="00C221C4">
        <w:rPr>
          <w:b w:val="0"/>
          <w:szCs w:val="24"/>
        </w:rPr>
        <w:t>Jakékoli přímé či nepřímé jednání nebo opomenutí, k němuž dochází v pracovním kontextu, které je vyvolané interním či externím oznámením nebo uveřejněním a které oznamující osobě působí nebo může způsobit neoprávněnou újmu.</w:t>
      </w:r>
    </w:p>
    <w:p w14:paraId="74EBB3A0" w14:textId="128CE14B" w:rsidR="006911A9" w:rsidRPr="00C221C4" w:rsidRDefault="006911A9" w:rsidP="009A0BB4">
      <w:pPr>
        <w:pStyle w:val="Nzev"/>
        <w:spacing w:after="120"/>
        <w:jc w:val="both"/>
        <w:rPr>
          <w:b w:val="0"/>
          <w:szCs w:val="24"/>
        </w:rPr>
      </w:pPr>
      <w:r w:rsidRPr="00C221C4">
        <w:rPr>
          <w:b w:val="0"/>
          <w:szCs w:val="24"/>
        </w:rPr>
        <w:lastRenderedPageBreak/>
        <w:t>Odvetným opatřením může být zejména:</w:t>
      </w:r>
    </w:p>
    <w:p w14:paraId="6D1DA33D" w14:textId="0F33EC64" w:rsidR="006911A9" w:rsidRPr="00C221C4" w:rsidRDefault="006911A9" w:rsidP="003F0D09">
      <w:pPr>
        <w:pStyle w:val="Default"/>
        <w:numPr>
          <w:ilvl w:val="0"/>
          <w:numId w:val="14"/>
        </w:numPr>
        <w:spacing w:after="50"/>
        <w:ind w:left="1077" w:hanging="720"/>
        <w:jc w:val="both"/>
      </w:pPr>
      <w:r w:rsidRPr="00C221C4">
        <w:t xml:space="preserve">zproštění výkonu státní služby, zařazení mimo výkon státní služby nebo skončení služebního poměru, </w:t>
      </w:r>
    </w:p>
    <w:p w14:paraId="250C4C9B" w14:textId="6165B9A5" w:rsidR="006911A9" w:rsidRPr="00C221C4" w:rsidRDefault="006911A9" w:rsidP="003F0D09">
      <w:pPr>
        <w:pStyle w:val="Default"/>
        <w:numPr>
          <w:ilvl w:val="0"/>
          <w:numId w:val="14"/>
        </w:numPr>
        <w:spacing w:after="50"/>
        <w:ind w:left="1077" w:hanging="720"/>
        <w:jc w:val="both"/>
      </w:pPr>
      <w:r w:rsidRPr="00C221C4">
        <w:t xml:space="preserve">rozvázání pracovního poměru nebo neprodloužení pracovního poměru na dobu určitou, </w:t>
      </w:r>
    </w:p>
    <w:p w14:paraId="63E38A15" w14:textId="7682F528" w:rsidR="006911A9" w:rsidRPr="00C221C4" w:rsidRDefault="006911A9" w:rsidP="003F0D09">
      <w:pPr>
        <w:pStyle w:val="Default"/>
        <w:numPr>
          <w:ilvl w:val="0"/>
          <w:numId w:val="14"/>
        </w:numPr>
        <w:spacing w:after="50"/>
        <w:ind w:left="1077" w:hanging="720"/>
        <w:jc w:val="both"/>
      </w:pPr>
      <w:r w:rsidRPr="00C221C4">
        <w:t>zrušení právního vztahu založeného dohodou o provedení práce nebo dohodou o</w:t>
      </w:r>
      <w:r w:rsidR="00615910">
        <w:t> </w:t>
      </w:r>
      <w:r w:rsidRPr="00C221C4">
        <w:t xml:space="preserve">pracovní činnosti, </w:t>
      </w:r>
    </w:p>
    <w:p w14:paraId="2B35352D" w14:textId="026D6937" w:rsidR="006911A9" w:rsidRPr="00C221C4" w:rsidRDefault="006911A9" w:rsidP="003F0D09">
      <w:pPr>
        <w:pStyle w:val="Default"/>
        <w:numPr>
          <w:ilvl w:val="0"/>
          <w:numId w:val="14"/>
        </w:numPr>
        <w:ind w:left="1077" w:hanging="720"/>
        <w:jc w:val="both"/>
      </w:pPr>
      <w:r w:rsidRPr="00C221C4">
        <w:t xml:space="preserve">odvolání z místa vedoucího zaměstnance nebo ze služebního místa představeného, </w:t>
      </w:r>
    </w:p>
    <w:p w14:paraId="3128575E" w14:textId="063EF836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uložení kárného opatření nebo kázeňského trestu, </w:t>
      </w:r>
    </w:p>
    <w:p w14:paraId="73AC867D" w14:textId="2321C840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snížení mzdy, platu nebo odměny nebo nepřiznání osobního příplatku, </w:t>
      </w:r>
    </w:p>
    <w:p w14:paraId="3CB06558" w14:textId="6D66936C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diskriminace, </w:t>
      </w:r>
    </w:p>
    <w:p w14:paraId="562CA53A" w14:textId="1398E06D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přeložení nebo převedení na jinou práci nebo na jiné služební místo, </w:t>
      </w:r>
    </w:p>
    <w:p w14:paraId="09CB8E1F" w14:textId="770AFED3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služební hodnocení nebo pracovní posudek, </w:t>
      </w:r>
    </w:p>
    <w:p w14:paraId="6117EBE3" w14:textId="78865DBC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ostrakizace, </w:t>
      </w:r>
    </w:p>
    <w:p w14:paraId="6DC15F3E" w14:textId="448B3B7A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neumožnění odborného rozvoje, </w:t>
      </w:r>
    </w:p>
    <w:p w14:paraId="2E6FD06D" w14:textId="24A790DA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změna rozvržení pracovní nebo služební doby, </w:t>
      </w:r>
    </w:p>
    <w:p w14:paraId="129BA5AA" w14:textId="33996DCD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vyžadování lékařského posudku nebo pracovnělékařské prohlídky, </w:t>
      </w:r>
    </w:p>
    <w:p w14:paraId="782F29D8" w14:textId="63E358ED" w:rsidR="006911A9" w:rsidRPr="00C221C4" w:rsidRDefault="006911A9" w:rsidP="003F0D09">
      <w:pPr>
        <w:pStyle w:val="Default"/>
        <w:numPr>
          <w:ilvl w:val="0"/>
          <w:numId w:val="14"/>
        </w:numPr>
        <w:spacing w:after="49"/>
        <w:ind w:left="1077" w:hanging="720"/>
        <w:jc w:val="both"/>
      </w:pPr>
      <w:r w:rsidRPr="00C221C4">
        <w:t xml:space="preserve">výpověď nebo odstoupení od smlouvy, nebo </w:t>
      </w:r>
    </w:p>
    <w:p w14:paraId="4465416C" w14:textId="3A321486" w:rsidR="006911A9" w:rsidRPr="00C221C4" w:rsidRDefault="006911A9" w:rsidP="003F0D09">
      <w:pPr>
        <w:pStyle w:val="Default"/>
        <w:numPr>
          <w:ilvl w:val="0"/>
          <w:numId w:val="14"/>
        </w:numPr>
        <w:ind w:left="1077" w:hanging="720"/>
        <w:jc w:val="both"/>
      </w:pPr>
      <w:r w:rsidRPr="00C221C4">
        <w:t xml:space="preserve">zásah do práva na ochranu osobnosti. </w:t>
      </w:r>
    </w:p>
    <w:p w14:paraId="41ABB823" w14:textId="77777777" w:rsidR="006911A9" w:rsidRDefault="006911A9" w:rsidP="00F40A74">
      <w:pPr>
        <w:pStyle w:val="Nzev"/>
        <w:jc w:val="both"/>
        <w:rPr>
          <w:b w:val="0"/>
          <w:szCs w:val="24"/>
        </w:rPr>
      </w:pPr>
    </w:p>
    <w:p w14:paraId="600BF8D7" w14:textId="4026D459" w:rsidR="00527ED2" w:rsidRDefault="00C221C4" w:rsidP="00527ED2">
      <w:pPr>
        <w:pStyle w:val="Nadpis2"/>
        <w:keepNext w:val="0"/>
        <w:numPr>
          <w:ilvl w:val="0"/>
          <w:numId w:val="2"/>
        </w:numPr>
        <w:tabs>
          <w:tab w:val="num" w:pos="360"/>
        </w:tabs>
        <w:spacing w:after="120"/>
        <w:ind w:left="0" w:firstLine="0"/>
        <w:jc w:val="both"/>
      </w:pPr>
      <w:bookmarkStart w:id="4" w:name="_Toc89083170"/>
      <w:r>
        <w:t>Ochrana oznamovatelů a dalších osob</w:t>
      </w:r>
      <w:bookmarkEnd w:id="4"/>
    </w:p>
    <w:p w14:paraId="0305A19D" w14:textId="77777777" w:rsidR="00C221C4" w:rsidRPr="00C221C4" w:rsidRDefault="00C221C4" w:rsidP="00C221C4">
      <w:pPr>
        <w:pStyle w:val="Default"/>
        <w:spacing w:after="120"/>
      </w:pPr>
      <w:r w:rsidRPr="00C221C4">
        <w:t xml:space="preserve">Oznamovatelé mají nárok na ochranu podle Směrnice pokud: </w:t>
      </w:r>
    </w:p>
    <w:p w14:paraId="0A15C6E0" w14:textId="56A4B76E" w:rsidR="00C221C4" w:rsidRPr="00C221C4" w:rsidRDefault="00C221C4" w:rsidP="003F0D09">
      <w:pPr>
        <w:pStyle w:val="Default"/>
        <w:numPr>
          <w:ilvl w:val="0"/>
          <w:numId w:val="11"/>
        </w:numPr>
        <w:spacing w:after="120"/>
        <w:ind w:left="1080" w:hanging="720"/>
        <w:jc w:val="both"/>
      </w:pPr>
      <w:r w:rsidRPr="00C221C4">
        <w:t>měli oprávněné důvody se domnívat, že oznámené informace o porušení byly v době oznámení pravdivé (tzn. oznamovatel nesmí učinit oznámení vědomě nepravdivé) a</w:t>
      </w:r>
      <w:r w:rsidR="009E2984">
        <w:t> </w:t>
      </w:r>
      <w:r w:rsidRPr="00C221C4">
        <w:t xml:space="preserve">že tyto informace spadaly do oblasti působnosti Směrnice a </w:t>
      </w:r>
    </w:p>
    <w:p w14:paraId="007B33C2" w14:textId="2A168E5F" w:rsidR="00C221C4" w:rsidRPr="00C221C4" w:rsidRDefault="00C221C4" w:rsidP="003F0D09">
      <w:pPr>
        <w:pStyle w:val="Default"/>
        <w:numPr>
          <w:ilvl w:val="0"/>
          <w:numId w:val="11"/>
        </w:numPr>
        <w:spacing w:after="120"/>
        <w:ind w:left="1080" w:hanging="720"/>
        <w:jc w:val="both"/>
        <w:rPr>
          <w:sz w:val="23"/>
          <w:szCs w:val="23"/>
        </w:rPr>
      </w:pPr>
      <w:r w:rsidRPr="00C221C4">
        <w:t xml:space="preserve">podali v souladu se Směrnicí oznámení buď prostřednictvím VOS, EOS, nebo učinili uveřejnění, případně oznámení podali přímo jiným příslušným orgánům veřejné moci. </w:t>
      </w:r>
    </w:p>
    <w:p w14:paraId="2CAD1E71" w14:textId="7D1C2068" w:rsidR="00C221C4" w:rsidRDefault="00C221C4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 w:rsidRPr="00C221C4">
        <w:rPr>
          <w:rFonts w:ascii="Times New Roman" w:hAnsi="Times New Roman" w:cs="Times New Roman"/>
          <w:sz w:val="24"/>
          <w:szCs w:val="24"/>
        </w:rPr>
        <w:t>Za hlavní ochranné opatření lze považovat zákaz uplatnění odvetného opatření vůči oznamovateli a dalším fyzickým i právnickým osobám (např. kolegům, pomocníkům oznamovatele, osobám oznamovateli blízkým, právnickým osobám, jejichž společníkem je</w:t>
      </w:r>
      <w:r w:rsidR="009E2984">
        <w:rPr>
          <w:rFonts w:ascii="Times New Roman" w:hAnsi="Times New Roman" w:cs="Times New Roman"/>
          <w:sz w:val="24"/>
          <w:szCs w:val="24"/>
        </w:rPr>
        <w:t> </w:t>
      </w:r>
      <w:r w:rsidRPr="00C221C4">
        <w:rPr>
          <w:rFonts w:ascii="Times New Roman" w:hAnsi="Times New Roman" w:cs="Times New Roman"/>
          <w:sz w:val="24"/>
          <w:szCs w:val="24"/>
        </w:rPr>
        <w:t>oznamovatel atd.).</w:t>
      </w:r>
    </w:p>
    <w:p w14:paraId="38F5241A" w14:textId="1C6999E5" w:rsidR="00C221C4" w:rsidRDefault="000C2C52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221C4" w:rsidRPr="00C221C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nezbytné</w:t>
      </w:r>
      <w:r w:rsidR="00C221C4" w:rsidRPr="00C221C4">
        <w:rPr>
          <w:rFonts w:ascii="Times New Roman" w:hAnsi="Times New Roman" w:cs="Times New Roman"/>
          <w:sz w:val="24"/>
          <w:szCs w:val="24"/>
        </w:rPr>
        <w:t>, aby povinný subjekt zachovával důvěrnost, a to jak ohledně totožnosti oznamovatele a případně dalších dotčených osob, tak i ohledně jakýchkoliv informací uvedených v oznámení.</w:t>
      </w:r>
    </w:p>
    <w:p w14:paraId="1A41AB34" w14:textId="3ACBD08F" w:rsidR="000C2C52" w:rsidRDefault="000C2C52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na ochranu se nelze žádným způsobem vzdát ani je nelze omezit.</w:t>
      </w:r>
    </w:p>
    <w:p w14:paraId="63A3545A" w14:textId="3020F62A" w:rsidR="000C2C52" w:rsidRDefault="00AD224B" w:rsidP="00E74D31">
      <w:pPr>
        <w:pStyle w:val="Nadpis2"/>
        <w:keepNext w:val="0"/>
        <w:numPr>
          <w:ilvl w:val="0"/>
          <w:numId w:val="2"/>
        </w:numPr>
        <w:tabs>
          <w:tab w:val="num" w:pos="360"/>
        </w:tabs>
        <w:spacing w:after="120"/>
        <w:ind w:left="0" w:firstLine="0"/>
        <w:jc w:val="both"/>
      </w:pPr>
      <w:bookmarkStart w:id="5" w:name="_Toc89083171"/>
      <w:r>
        <w:t>Přijímání, zpracování a evidence oznámení</w:t>
      </w:r>
      <w:bookmarkEnd w:id="5"/>
    </w:p>
    <w:p w14:paraId="7B907B4D" w14:textId="4D93F14C" w:rsidR="00AD224B" w:rsidRDefault="00AD224B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 w:rsidRPr="00A312EC">
        <w:rPr>
          <w:rFonts w:ascii="Times New Roman" w:hAnsi="Times New Roman" w:cs="Times New Roman"/>
          <w:sz w:val="24"/>
          <w:szCs w:val="24"/>
        </w:rPr>
        <w:t xml:space="preserve">Oznámení jsou přijímána </w:t>
      </w:r>
      <w:r w:rsidR="00A312EC">
        <w:rPr>
          <w:rFonts w:ascii="Times New Roman" w:hAnsi="Times New Roman" w:cs="Times New Roman"/>
          <w:sz w:val="24"/>
          <w:szCs w:val="24"/>
        </w:rPr>
        <w:t xml:space="preserve">příslušnou osobou </w:t>
      </w:r>
      <w:r w:rsidRPr="00A312EC">
        <w:rPr>
          <w:rFonts w:ascii="Times New Roman" w:hAnsi="Times New Roman" w:cs="Times New Roman"/>
          <w:sz w:val="24"/>
          <w:szCs w:val="24"/>
        </w:rPr>
        <w:t>prostřednictvím vnitřního oznamovacího systému</w:t>
      </w:r>
      <w:r w:rsidR="00A312EC">
        <w:rPr>
          <w:rFonts w:ascii="Times New Roman" w:hAnsi="Times New Roman" w:cs="Times New Roman"/>
          <w:sz w:val="24"/>
          <w:szCs w:val="24"/>
        </w:rPr>
        <w:t>.</w:t>
      </w:r>
    </w:p>
    <w:p w14:paraId="52925FC8" w14:textId="229120D9" w:rsidR="00A312EC" w:rsidRDefault="00A312EC" w:rsidP="00E74D31">
      <w:pPr>
        <w:pStyle w:val="Nadpis3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color w:val="auto"/>
        </w:rPr>
      </w:pPr>
      <w:bookmarkStart w:id="6" w:name="_Toc89083172"/>
      <w:r>
        <w:rPr>
          <w:rFonts w:ascii="Times New Roman" w:hAnsi="Times New Roman" w:cs="Times New Roman"/>
          <w:b/>
          <w:bCs/>
          <w:color w:val="auto"/>
        </w:rPr>
        <w:t>Příslušná osoba</w:t>
      </w:r>
      <w:bookmarkEnd w:id="6"/>
    </w:p>
    <w:p w14:paraId="34A5D71C" w14:textId="5F82FB82" w:rsidR="00A312EC" w:rsidRDefault="006B6254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57D6F">
        <w:rPr>
          <w:rFonts w:ascii="Times New Roman" w:hAnsi="Times New Roman" w:cs="Times New Roman"/>
          <w:sz w:val="24"/>
          <w:szCs w:val="24"/>
        </w:rPr>
        <w:t>ako příslušná</w:t>
      </w:r>
      <w:r w:rsidR="00A312EC" w:rsidRPr="00512B38">
        <w:rPr>
          <w:rFonts w:ascii="Times New Roman" w:hAnsi="Times New Roman" w:cs="Times New Roman"/>
          <w:sz w:val="24"/>
          <w:szCs w:val="24"/>
        </w:rPr>
        <w:t xml:space="preserve"> osob</w:t>
      </w:r>
      <w:r w:rsidR="00557D6F">
        <w:rPr>
          <w:rFonts w:ascii="Times New Roman" w:hAnsi="Times New Roman" w:cs="Times New Roman"/>
          <w:sz w:val="24"/>
          <w:szCs w:val="24"/>
        </w:rPr>
        <w:t xml:space="preserve">a </w:t>
      </w:r>
      <w:r w:rsidR="00512B38">
        <w:rPr>
          <w:rFonts w:ascii="Times New Roman" w:hAnsi="Times New Roman" w:cs="Times New Roman"/>
          <w:sz w:val="24"/>
          <w:szCs w:val="24"/>
        </w:rPr>
        <w:t xml:space="preserve">je </w:t>
      </w:r>
      <w:r w:rsidR="00557D6F">
        <w:rPr>
          <w:rFonts w:ascii="Times New Roman" w:hAnsi="Times New Roman" w:cs="Times New Roman"/>
          <w:sz w:val="24"/>
          <w:szCs w:val="24"/>
        </w:rPr>
        <w:t xml:space="preserve">ve smyslu Směrnice určen </w:t>
      </w:r>
      <w:r w:rsidR="00512B38">
        <w:rPr>
          <w:rFonts w:ascii="Times New Roman" w:hAnsi="Times New Roman" w:cs="Times New Roman"/>
          <w:sz w:val="24"/>
          <w:szCs w:val="24"/>
        </w:rPr>
        <w:t>manažer bezpečnosti informací a pověřenec pro ochranu osobních údajů</w:t>
      </w:r>
      <w:r w:rsidR="00557D6F">
        <w:rPr>
          <w:rFonts w:ascii="Times New Roman" w:hAnsi="Times New Roman" w:cs="Times New Roman"/>
          <w:sz w:val="24"/>
          <w:szCs w:val="24"/>
        </w:rPr>
        <w:t xml:space="preserve"> KÚ LK</w:t>
      </w:r>
      <w:r w:rsidR="00512B38">
        <w:rPr>
          <w:rFonts w:ascii="Times New Roman" w:hAnsi="Times New Roman" w:cs="Times New Roman"/>
          <w:sz w:val="24"/>
          <w:szCs w:val="24"/>
        </w:rPr>
        <w:t>.</w:t>
      </w:r>
    </w:p>
    <w:p w14:paraId="626A4956" w14:textId="1D72A877" w:rsidR="00557D6F" w:rsidRDefault="00557D6F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Příslušná osoba:</w:t>
      </w:r>
    </w:p>
    <w:p w14:paraId="52B5AA8E" w14:textId="14DFC741" w:rsidR="00557D6F" w:rsidRDefault="004E0251" w:rsidP="00E74D3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přijímá</w:t>
      </w:r>
      <w:r w:rsidR="00EE5BF2">
        <w:rPr>
          <w:rFonts w:ascii="Times New Roman" w:hAnsi="Times New Roman" w:cs="Times New Roman"/>
          <w:sz w:val="24"/>
          <w:szCs w:val="24"/>
        </w:rPr>
        <w:t xml:space="preserve"> a posuzuje důvodnost oznámení, přijatých prostřednictvím VOS</w:t>
      </w:r>
      <w:r w:rsidR="00964623">
        <w:rPr>
          <w:rFonts w:ascii="Times New Roman" w:hAnsi="Times New Roman" w:cs="Times New Roman"/>
          <w:sz w:val="24"/>
          <w:szCs w:val="24"/>
        </w:rPr>
        <w:t>,</w:t>
      </w:r>
    </w:p>
    <w:p w14:paraId="480E239E" w14:textId="67EBBF02" w:rsidR="00EE5BF2" w:rsidRDefault="004E0251" w:rsidP="00E74D3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</w:t>
      </w:r>
      <w:r w:rsidR="00EE5BF2">
        <w:rPr>
          <w:rFonts w:ascii="Times New Roman" w:hAnsi="Times New Roman" w:cs="Times New Roman"/>
          <w:sz w:val="24"/>
          <w:szCs w:val="24"/>
        </w:rPr>
        <w:t xml:space="preserve"> opatření k nápravě či předejití protiprávního stavu v návaznosti na přijatá oznámení</w:t>
      </w:r>
      <w:r w:rsidR="00964623">
        <w:rPr>
          <w:rFonts w:ascii="Times New Roman" w:hAnsi="Times New Roman" w:cs="Times New Roman"/>
          <w:sz w:val="24"/>
          <w:szCs w:val="24"/>
        </w:rPr>
        <w:t>,</w:t>
      </w:r>
    </w:p>
    <w:p w14:paraId="79E69D6D" w14:textId="5A0BAAFB" w:rsidR="00EE5BF2" w:rsidRDefault="004E0251" w:rsidP="00E74D3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</w:t>
      </w:r>
      <w:r w:rsidR="00EE5BF2">
        <w:rPr>
          <w:rFonts w:ascii="Times New Roman" w:hAnsi="Times New Roman" w:cs="Times New Roman"/>
          <w:sz w:val="24"/>
          <w:szCs w:val="24"/>
        </w:rPr>
        <w:t xml:space="preserve"> evidenci oznámení</w:t>
      </w:r>
      <w:r w:rsidR="00964623">
        <w:rPr>
          <w:rFonts w:ascii="Times New Roman" w:hAnsi="Times New Roman" w:cs="Times New Roman"/>
          <w:sz w:val="24"/>
          <w:szCs w:val="24"/>
        </w:rPr>
        <w:t>,</w:t>
      </w:r>
    </w:p>
    <w:p w14:paraId="5AC77779" w14:textId="0CAB57AC" w:rsidR="00EE5BF2" w:rsidRDefault="004E0251" w:rsidP="00E74D3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zachovává</w:t>
      </w:r>
      <w:r w:rsidR="00EE5BF2">
        <w:rPr>
          <w:rFonts w:ascii="Times New Roman" w:hAnsi="Times New Roman" w:cs="Times New Roman"/>
          <w:sz w:val="24"/>
          <w:szCs w:val="24"/>
        </w:rPr>
        <w:t xml:space="preserve"> mlčenlivost o </w:t>
      </w:r>
      <w:r w:rsidR="00E71300">
        <w:rPr>
          <w:rFonts w:ascii="Times New Roman" w:hAnsi="Times New Roman" w:cs="Times New Roman"/>
          <w:sz w:val="24"/>
          <w:szCs w:val="24"/>
        </w:rPr>
        <w:t>skutečnostech, o kterých se dozvěděla při výkonu své činnosti</w:t>
      </w:r>
      <w:r w:rsidR="00964623">
        <w:rPr>
          <w:rFonts w:ascii="Times New Roman" w:hAnsi="Times New Roman" w:cs="Times New Roman"/>
          <w:sz w:val="24"/>
          <w:szCs w:val="24"/>
        </w:rPr>
        <w:t>,</w:t>
      </w:r>
    </w:p>
    <w:p w14:paraId="43C72966" w14:textId="644B22B8" w:rsidR="00E71300" w:rsidRDefault="004E0251" w:rsidP="00E74D3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postupuje</w:t>
      </w:r>
      <w:r w:rsidR="00E71300">
        <w:rPr>
          <w:rFonts w:ascii="Times New Roman" w:hAnsi="Times New Roman" w:cs="Times New Roman"/>
          <w:sz w:val="24"/>
          <w:szCs w:val="24"/>
        </w:rPr>
        <w:t xml:space="preserve"> při výkonu své činnosti nestranně, přičemž nikdo jiný nesmí zasahovat do</w:t>
      </w:r>
      <w:r w:rsidR="00E30214">
        <w:rPr>
          <w:rFonts w:ascii="Times New Roman" w:hAnsi="Times New Roman" w:cs="Times New Roman"/>
          <w:sz w:val="24"/>
          <w:szCs w:val="24"/>
        </w:rPr>
        <w:t> </w:t>
      </w:r>
      <w:r w:rsidR="00E71300">
        <w:rPr>
          <w:rFonts w:ascii="Times New Roman" w:hAnsi="Times New Roman" w:cs="Times New Roman"/>
          <w:sz w:val="24"/>
          <w:szCs w:val="24"/>
        </w:rPr>
        <w:t>řádného výkonu její činnosti ani nesmí ohrožovat její nestrannost</w:t>
      </w:r>
      <w:r w:rsidR="00E30214">
        <w:rPr>
          <w:rFonts w:ascii="Times New Roman" w:hAnsi="Times New Roman" w:cs="Times New Roman"/>
          <w:sz w:val="24"/>
          <w:szCs w:val="24"/>
        </w:rPr>
        <w:t>.</w:t>
      </w:r>
    </w:p>
    <w:p w14:paraId="5C762BE2" w14:textId="20E9C3AB" w:rsidR="00E71300" w:rsidRDefault="00EF26C7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0251">
        <w:rPr>
          <w:rFonts w:ascii="Times New Roman" w:hAnsi="Times New Roman" w:cs="Times New Roman"/>
          <w:sz w:val="24"/>
          <w:szCs w:val="24"/>
        </w:rPr>
        <w:t>ři zpracovávání a posuzování přijatých oznámení je p</w:t>
      </w:r>
      <w:r w:rsidR="001B1AF5">
        <w:rPr>
          <w:rFonts w:ascii="Times New Roman" w:hAnsi="Times New Roman" w:cs="Times New Roman"/>
          <w:sz w:val="24"/>
          <w:szCs w:val="24"/>
        </w:rPr>
        <w:t>říslušná</w:t>
      </w:r>
      <w:r w:rsidR="004E0251">
        <w:rPr>
          <w:rFonts w:ascii="Times New Roman" w:hAnsi="Times New Roman" w:cs="Times New Roman"/>
          <w:sz w:val="24"/>
          <w:szCs w:val="24"/>
        </w:rPr>
        <w:t xml:space="preserve"> osoba oprávněna vyžadovat součinnost dotčených osob, požadovat vysvětlení, vyžádat vydání listin nebo jiné věci důležité pro posouzení a požadovat vstup do kanceláří či jiných prostor KÚ LK</w:t>
      </w:r>
      <w:r w:rsidR="0029712F">
        <w:rPr>
          <w:rFonts w:ascii="Times New Roman" w:hAnsi="Times New Roman" w:cs="Times New Roman"/>
          <w:sz w:val="24"/>
          <w:szCs w:val="24"/>
        </w:rPr>
        <w:t>.</w:t>
      </w:r>
    </w:p>
    <w:p w14:paraId="609D5C10" w14:textId="772DB13F" w:rsidR="0029712F" w:rsidRDefault="0029712F" w:rsidP="00E74D31">
      <w:pPr>
        <w:pStyle w:val="Nadpis3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color w:val="auto"/>
        </w:rPr>
      </w:pPr>
      <w:bookmarkStart w:id="7" w:name="_Toc89083173"/>
      <w:r>
        <w:rPr>
          <w:rFonts w:ascii="Times New Roman" w:hAnsi="Times New Roman" w:cs="Times New Roman"/>
          <w:b/>
          <w:bCs/>
          <w:color w:val="auto"/>
        </w:rPr>
        <w:t xml:space="preserve">Vnitřní </w:t>
      </w:r>
      <w:r w:rsidR="00314317">
        <w:rPr>
          <w:rFonts w:ascii="Times New Roman" w:hAnsi="Times New Roman" w:cs="Times New Roman"/>
          <w:b/>
          <w:bCs/>
          <w:color w:val="auto"/>
        </w:rPr>
        <w:t>oznamovací systém</w:t>
      </w:r>
      <w:bookmarkEnd w:id="7"/>
    </w:p>
    <w:p w14:paraId="2EF5B1F4" w14:textId="49CCDD2A" w:rsidR="00314317" w:rsidRDefault="006B1E53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 w:rsidRPr="006B1E53">
        <w:rPr>
          <w:rFonts w:ascii="Times New Roman" w:hAnsi="Times New Roman" w:cs="Times New Roman"/>
          <w:sz w:val="24"/>
          <w:szCs w:val="24"/>
        </w:rPr>
        <w:t>VOS je provozován</w:t>
      </w:r>
      <w:r w:rsidR="00804E36">
        <w:rPr>
          <w:rFonts w:ascii="Times New Roman" w:hAnsi="Times New Roman" w:cs="Times New Roman"/>
          <w:sz w:val="24"/>
          <w:szCs w:val="24"/>
        </w:rPr>
        <w:t xml:space="preserve"> tak</w:t>
      </w:r>
      <w:r w:rsidRPr="006B1E53">
        <w:rPr>
          <w:rFonts w:ascii="Times New Roman" w:hAnsi="Times New Roman" w:cs="Times New Roman"/>
          <w:sz w:val="24"/>
          <w:szCs w:val="24"/>
        </w:rPr>
        <w:t>, aby dovolil utajení totožnosti oznamující osoby a třetích osob a</w:t>
      </w:r>
      <w:r w:rsidR="00615910">
        <w:rPr>
          <w:rFonts w:ascii="Times New Roman" w:hAnsi="Times New Roman" w:cs="Times New Roman"/>
          <w:sz w:val="24"/>
          <w:szCs w:val="24"/>
        </w:rPr>
        <w:t> </w:t>
      </w:r>
      <w:r w:rsidRPr="006B1E53">
        <w:rPr>
          <w:rFonts w:ascii="Times New Roman" w:hAnsi="Times New Roman" w:cs="Times New Roman"/>
          <w:sz w:val="24"/>
          <w:szCs w:val="24"/>
        </w:rPr>
        <w:t>ochran</w:t>
      </w:r>
      <w:r w:rsidR="00804E36">
        <w:rPr>
          <w:rFonts w:ascii="Times New Roman" w:hAnsi="Times New Roman" w:cs="Times New Roman"/>
          <w:sz w:val="24"/>
          <w:szCs w:val="24"/>
        </w:rPr>
        <w:t>u</w:t>
      </w:r>
      <w:r w:rsidRPr="006B1E53">
        <w:rPr>
          <w:rFonts w:ascii="Times New Roman" w:hAnsi="Times New Roman" w:cs="Times New Roman"/>
          <w:sz w:val="24"/>
          <w:szCs w:val="24"/>
        </w:rPr>
        <w:t xml:space="preserve"> informací uvedených v oznámení. Totožnost oznamovatele není možné sdělit bez jeho výslovného souhlasu třetí osobě ani orgánu</w:t>
      </w:r>
      <w:r w:rsidR="00FA40C2">
        <w:rPr>
          <w:rFonts w:ascii="Times New Roman" w:hAnsi="Times New Roman" w:cs="Times New Roman"/>
          <w:sz w:val="24"/>
          <w:szCs w:val="24"/>
        </w:rPr>
        <w:t xml:space="preserve"> veřejné moci</w:t>
      </w:r>
      <w:r w:rsidRPr="006B1E53">
        <w:rPr>
          <w:rFonts w:ascii="Times New Roman" w:hAnsi="Times New Roman" w:cs="Times New Roman"/>
          <w:sz w:val="24"/>
          <w:szCs w:val="24"/>
        </w:rPr>
        <w:t>, s výjimkou zákonem stanovených výjimek (např</w:t>
      </w:r>
      <w:r w:rsidR="002E7A3D">
        <w:rPr>
          <w:rFonts w:ascii="Times New Roman" w:hAnsi="Times New Roman" w:cs="Times New Roman"/>
          <w:sz w:val="24"/>
          <w:szCs w:val="24"/>
        </w:rPr>
        <w:t>íklad</w:t>
      </w:r>
      <w:r w:rsidRPr="006B1E53">
        <w:rPr>
          <w:rFonts w:ascii="Times New Roman" w:hAnsi="Times New Roman" w:cs="Times New Roman"/>
          <w:sz w:val="24"/>
          <w:szCs w:val="24"/>
        </w:rPr>
        <w:t xml:space="preserve"> případ dožádání ze strany orgánů činných v trestním řízení podle trestního řádu).</w:t>
      </w:r>
    </w:p>
    <w:p w14:paraId="42A8E51B" w14:textId="0CF66305" w:rsidR="00E74D31" w:rsidRDefault="00E74D31" w:rsidP="00E74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Oznamovatel může podat oznámení prostřednictvím VOS tak, aby se s jeho obsahem mohla seznámit pouze příslušná osoba, a to:</w:t>
      </w:r>
    </w:p>
    <w:p w14:paraId="63418052" w14:textId="5560D650" w:rsidR="00E74D31" w:rsidRDefault="002E7A3D" w:rsidP="00E74D3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31">
        <w:rPr>
          <w:rFonts w:ascii="Times New Roman" w:hAnsi="Times New Roman" w:cs="Times New Roman"/>
          <w:sz w:val="24"/>
          <w:szCs w:val="24"/>
        </w:rPr>
        <w:t xml:space="preserve">ísemně – </w:t>
      </w:r>
      <w:r w:rsidR="00C04448">
        <w:rPr>
          <w:rFonts w:ascii="Times New Roman" w:hAnsi="Times New Roman" w:cs="Times New Roman"/>
          <w:sz w:val="24"/>
          <w:szCs w:val="24"/>
        </w:rPr>
        <w:t>na adresu Krajský úřad Libereckého kraje, U Jezu 642/</w:t>
      </w:r>
      <w:proofErr w:type="gramStart"/>
      <w:r w:rsidR="00C04448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="00C04448">
        <w:rPr>
          <w:rFonts w:ascii="Times New Roman" w:hAnsi="Times New Roman" w:cs="Times New Roman"/>
          <w:sz w:val="24"/>
          <w:szCs w:val="24"/>
        </w:rPr>
        <w:t>, 461 80, Liberec 2 s označením obálky „NEOTEVÍRAT – pouze do rukou příslušné osoby“</w:t>
      </w:r>
      <w:r w:rsidR="00EF26C7">
        <w:rPr>
          <w:rFonts w:ascii="Times New Roman" w:hAnsi="Times New Roman" w:cs="Times New Roman"/>
          <w:sz w:val="24"/>
          <w:szCs w:val="24"/>
        </w:rPr>
        <w:t>,</w:t>
      </w:r>
    </w:p>
    <w:p w14:paraId="147DBABA" w14:textId="7B21F0F0" w:rsidR="00C04448" w:rsidRDefault="002E7A3D" w:rsidP="00E74D3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04448">
        <w:rPr>
          <w:rFonts w:ascii="Times New Roman" w:hAnsi="Times New Roman" w:cs="Times New Roman"/>
          <w:sz w:val="24"/>
          <w:szCs w:val="24"/>
        </w:rPr>
        <w:t>lektronicky – na adresu whistleblowing@kraj-lbc.cz</w:t>
      </w:r>
      <w:r w:rsidR="00EF26C7">
        <w:rPr>
          <w:rFonts w:ascii="Times New Roman" w:hAnsi="Times New Roman" w:cs="Times New Roman"/>
          <w:sz w:val="24"/>
          <w:szCs w:val="24"/>
        </w:rPr>
        <w:t>,</w:t>
      </w:r>
    </w:p>
    <w:p w14:paraId="39991AA7" w14:textId="0BA7419D" w:rsidR="00C04448" w:rsidRDefault="002E7A3D" w:rsidP="00E74D3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04448">
        <w:rPr>
          <w:rFonts w:ascii="Times New Roman" w:hAnsi="Times New Roman" w:cs="Times New Roman"/>
          <w:sz w:val="24"/>
          <w:szCs w:val="24"/>
        </w:rPr>
        <w:t>elefonicky na čísle +420 739 541</w:t>
      </w:r>
      <w:r w:rsidR="00964623">
        <w:rPr>
          <w:rFonts w:ascii="Times New Roman" w:hAnsi="Times New Roman" w:cs="Times New Roman"/>
          <w:sz w:val="24"/>
          <w:szCs w:val="24"/>
        </w:rPr>
        <w:t> </w:t>
      </w:r>
      <w:r w:rsidR="00C04448">
        <w:rPr>
          <w:rFonts w:ascii="Times New Roman" w:hAnsi="Times New Roman" w:cs="Times New Roman"/>
          <w:sz w:val="24"/>
          <w:szCs w:val="24"/>
        </w:rPr>
        <w:t>629</w:t>
      </w:r>
      <w:r w:rsidR="00964623">
        <w:rPr>
          <w:rFonts w:ascii="Times New Roman" w:hAnsi="Times New Roman" w:cs="Times New Roman"/>
          <w:sz w:val="24"/>
          <w:szCs w:val="24"/>
        </w:rPr>
        <w:t xml:space="preserve">. O podaném oznámení bude proveden písemný záznam, případně bude </w:t>
      </w:r>
      <w:r w:rsidR="00C04448">
        <w:rPr>
          <w:rFonts w:ascii="Times New Roman" w:hAnsi="Times New Roman" w:cs="Times New Roman"/>
          <w:sz w:val="24"/>
          <w:szCs w:val="24"/>
        </w:rPr>
        <w:t>telefonický hovor se souhlasem oznamovatele nahráván</w:t>
      </w:r>
      <w:r w:rsidR="00EF26C7">
        <w:rPr>
          <w:rFonts w:ascii="Times New Roman" w:hAnsi="Times New Roman" w:cs="Times New Roman"/>
          <w:sz w:val="24"/>
          <w:szCs w:val="24"/>
        </w:rPr>
        <w:t>,</w:t>
      </w:r>
    </w:p>
    <w:p w14:paraId="514ACA4E" w14:textId="79B2DD0F" w:rsidR="00E74D31" w:rsidRDefault="002E7A3D" w:rsidP="00E74D3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E74D31">
        <w:rPr>
          <w:rFonts w:ascii="Times New Roman" w:hAnsi="Times New Roman" w:cs="Times New Roman"/>
          <w:sz w:val="24"/>
          <w:szCs w:val="24"/>
        </w:rPr>
        <w:t xml:space="preserve">stně – osobně </w:t>
      </w:r>
      <w:r w:rsidR="00C04448">
        <w:rPr>
          <w:rFonts w:ascii="Times New Roman" w:hAnsi="Times New Roman" w:cs="Times New Roman"/>
          <w:sz w:val="24"/>
          <w:szCs w:val="24"/>
        </w:rPr>
        <w:t xml:space="preserve">v budově A Krajského úřadu </w:t>
      </w:r>
      <w:r w:rsidR="00964623">
        <w:rPr>
          <w:rFonts w:ascii="Times New Roman" w:hAnsi="Times New Roman" w:cs="Times New Roman"/>
          <w:sz w:val="24"/>
          <w:szCs w:val="24"/>
        </w:rPr>
        <w:t>Libereckého kraje, U Jezu 642/</w:t>
      </w:r>
      <w:proofErr w:type="gramStart"/>
      <w:r w:rsidR="00964623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="00964623">
        <w:rPr>
          <w:rFonts w:ascii="Times New Roman" w:hAnsi="Times New Roman" w:cs="Times New Roman"/>
          <w:sz w:val="24"/>
          <w:szCs w:val="24"/>
        </w:rPr>
        <w:t>, v kanceláři č. 628. O podaném oznámení bude proveden písemný záznam, případně bude se souhlasem oznamovatele pořízen zvukový záznam.</w:t>
      </w:r>
    </w:p>
    <w:p w14:paraId="47237B65" w14:textId="3DAC7E3D" w:rsidR="00401849" w:rsidRPr="00401849" w:rsidRDefault="00401849" w:rsidP="00401849">
      <w:pPr>
        <w:jc w:val="both"/>
        <w:rPr>
          <w:rFonts w:ascii="Times New Roman" w:hAnsi="Times New Roman" w:cs="Times New Roman"/>
          <w:sz w:val="24"/>
          <w:szCs w:val="24"/>
        </w:rPr>
      </w:pPr>
      <w:r w:rsidRPr="00401849">
        <w:rPr>
          <w:rFonts w:ascii="Times New Roman" w:hAnsi="Times New Roman" w:cs="Times New Roman"/>
          <w:sz w:val="24"/>
          <w:szCs w:val="24"/>
        </w:rPr>
        <w:t>V případě pořízení přepisu oznámení i v případě sepsání záznamu o oznámení se oznamovateli umožní, aby se k těmto vyjádřil. Jeho vyjádření se k přepisu či záznamu přiloží.</w:t>
      </w:r>
    </w:p>
    <w:p w14:paraId="3E0E4DFB" w14:textId="2EEA7447" w:rsidR="00EF26C7" w:rsidRPr="00EF26C7" w:rsidRDefault="00EF26C7" w:rsidP="00EF26C7">
      <w:pPr>
        <w:jc w:val="both"/>
        <w:rPr>
          <w:rFonts w:ascii="Times New Roman" w:hAnsi="Times New Roman" w:cs="Times New Roman"/>
          <w:sz w:val="24"/>
          <w:szCs w:val="24"/>
        </w:rPr>
      </w:pPr>
      <w:r w:rsidRPr="00EF26C7">
        <w:rPr>
          <w:rFonts w:ascii="Times New Roman" w:hAnsi="Times New Roman" w:cs="Times New Roman"/>
          <w:sz w:val="24"/>
          <w:szCs w:val="24"/>
        </w:rPr>
        <w:t>Příslušná osoba má povinnost oznamovatele vyrozumět do 7 dnů o přijetí oznámení a do 3</w:t>
      </w:r>
      <w:r w:rsidR="002E7A3D">
        <w:rPr>
          <w:rFonts w:ascii="Times New Roman" w:hAnsi="Times New Roman" w:cs="Times New Roman"/>
          <w:sz w:val="24"/>
          <w:szCs w:val="24"/>
        </w:rPr>
        <w:t> </w:t>
      </w:r>
      <w:r w:rsidRPr="00EF26C7">
        <w:rPr>
          <w:rFonts w:ascii="Times New Roman" w:hAnsi="Times New Roman" w:cs="Times New Roman"/>
          <w:sz w:val="24"/>
          <w:szCs w:val="24"/>
        </w:rPr>
        <w:t>měsíců o způsobu jeho vyřízení.</w:t>
      </w:r>
      <w:r>
        <w:rPr>
          <w:rFonts w:ascii="Times New Roman" w:hAnsi="Times New Roman" w:cs="Times New Roman"/>
          <w:sz w:val="24"/>
          <w:szCs w:val="24"/>
        </w:rPr>
        <w:t xml:space="preserve"> Dojde-li příslušná osoba k závěru, že se nejedná o oznámení ve smyslu Směrnice, vyrozumí o tom oznamovatele ve stejné lhůtě.</w:t>
      </w:r>
    </w:p>
    <w:p w14:paraId="640D4634" w14:textId="484DA2B7" w:rsidR="00EF26C7" w:rsidRDefault="00EF26C7" w:rsidP="00EF26C7">
      <w:pPr>
        <w:pStyle w:val="Nadpis3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color w:val="auto"/>
        </w:rPr>
      </w:pPr>
      <w:bookmarkStart w:id="8" w:name="_Toc89083174"/>
      <w:r>
        <w:rPr>
          <w:rFonts w:ascii="Times New Roman" w:hAnsi="Times New Roman" w:cs="Times New Roman"/>
          <w:b/>
          <w:bCs/>
          <w:color w:val="auto"/>
        </w:rPr>
        <w:t>Evidence a uchovávání oznámení</w:t>
      </w:r>
      <w:bookmarkEnd w:id="8"/>
    </w:p>
    <w:p w14:paraId="65682F01" w14:textId="311F4C1D" w:rsidR="00EF26C7" w:rsidRDefault="007845BC" w:rsidP="008B0126">
      <w:pPr>
        <w:jc w:val="both"/>
        <w:rPr>
          <w:rFonts w:ascii="Times New Roman" w:hAnsi="Times New Roman" w:cs="Times New Roman"/>
          <w:sz w:val="24"/>
          <w:szCs w:val="24"/>
        </w:rPr>
      </w:pPr>
      <w:r w:rsidRPr="00401849">
        <w:rPr>
          <w:rFonts w:ascii="Times New Roman" w:hAnsi="Times New Roman" w:cs="Times New Roman"/>
          <w:sz w:val="24"/>
          <w:szCs w:val="24"/>
        </w:rPr>
        <w:t xml:space="preserve">O přijatých oznámeních </w:t>
      </w:r>
      <w:r w:rsidR="00401849">
        <w:rPr>
          <w:rFonts w:ascii="Times New Roman" w:hAnsi="Times New Roman" w:cs="Times New Roman"/>
          <w:sz w:val="24"/>
          <w:szCs w:val="24"/>
        </w:rPr>
        <w:t xml:space="preserve">se vede elektronická evidence v souladu s ustanovením §18, odst. 2 </w:t>
      </w:r>
      <w:r w:rsidR="004C02FA">
        <w:rPr>
          <w:rFonts w:ascii="Times New Roman" w:hAnsi="Times New Roman" w:cs="Times New Roman"/>
          <w:sz w:val="24"/>
          <w:szCs w:val="24"/>
        </w:rPr>
        <w:t>z</w:t>
      </w:r>
      <w:r w:rsidR="00401849">
        <w:rPr>
          <w:rFonts w:ascii="Times New Roman" w:hAnsi="Times New Roman" w:cs="Times New Roman"/>
          <w:sz w:val="24"/>
          <w:szCs w:val="24"/>
        </w:rPr>
        <w:t>ákona č. 500/2004 Sb., Správní řád, ve znění pozdějších předpisů.</w:t>
      </w:r>
    </w:p>
    <w:p w14:paraId="23B38257" w14:textId="3538A275" w:rsidR="008B0126" w:rsidRDefault="008B0126" w:rsidP="008B0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 vede příslušná osoba na PC s chráněným přístupem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OneDrive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Evidence v elektronické spisové službě bude pouze s řízeným přístupem příslušné </w:t>
      </w:r>
      <w:r w:rsidR="00932247">
        <w:rPr>
          <w:rFonts w:ascii="Times New Roman" w:hAnsi="Times New Roman" w:cs="Times New Roman"/>
          <w:sz w:val="24"/>
          <w:szCs w:val="24"/>
        </w:rPr>
        <w:t>osoby. Tamtéž ukládá i oznámení přijatá v elektronické podobě.</w:t>
      </w:r>
    </w:p>
    <w:p w14:paraId="6875A2BF" w14:textId="4511AD54" w:rsidR="008B0126" w:rsidRDefault="008B0126" w:rsidP="008B0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Oznámení přijatá v listinné podobě, </w:t>
      </w:r>
      <w:r w:rsidR="00932247">
        <w:rPr>
          <w:rFonts w:ascii="Times New Roman" w:hAnsi="Times New Roman" w:cs="Times New Roman"/>
          <w:sz w:val="24"/>
          <w:szCs w:val="24"/>
        </w:rPr>
        <w:t>přepisy oznámení i sepsané záznamy o oznámení a</w:t>
      </w:r>
      <w:r w:rsidR="00C869D8">
        <w:rPr>
          <w:rFonts w:ascii="Times New Roman" w:hAnsi="Times New Roman" w:cs="Times New Roman"/>
          <w:sz w:val="24"/>
          <w:szCs w:val="24"/>
        </w:rPr>
        <w:t> </w:t>
      </w:r>
      <w:r w:rsidR="00932247">
        <w:rPr>
          <w:rFonts w:ascii="Times New Roman" w:hAnsi="Times New Roman" w:cs="Times New Roman"/>
          <w:sz w:val="24"/>
          <w:szCs w:val="24"/>
        </w:rPr>
        <w:t>zvukové záznamy jsou uchovávány v uzamykatelné skříni.</w:t>
      </w:r>
    </w:p>
    <w:p w14:paraId="6DFF49B0" w14:textId="6CF8CE1E" w:rsidR="00932247" w:rsidRDefault="00932247" w:rsidP="008B0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záznamy a evidence jsou uchovávány po dobu 5 let.</w:t>
      </w:r>
    </w:p>
    <w:p w14:paraId="52DF39A5" w14:textId="77777777" w:rsidR="002C333B" w:rsidRDefault="002C333B" w:rsidP="00AB7D0B">
      <w:pPr>
        <w:pStyle w:val="Nadpis1"/>
        <w:numPr>
          <w:ilvl w:val="0"/>
          <w:numId w:val="1"/>
        </w:numPr>
        <w:tabs>
          <w:tab w:val="num" w:pos="360"/>
        </w:tabs>
        <w:spacing w:after="120"/>
        <w:ind w:left="0" w:firstLine="0"/>
      </w:pPr>
      <w:bookmarkStart w:id="9" w:name="_Toc18574017"/>
      <w:bookmarkStart w:id="10" w:name="_Toc89083175"/>
      <w:r>
        <w:lastRenderedPageBreak/>
        <w:t>Závěrečná ustanovení</w:t>
      </w:r>
      <w:bookmarkEnd w:id="9"/>
      <w:bookmarkEnd w:id="10"/>
    </w:p>
    <w:p w14:paraId="4898C2D7" w14:textId="5A03A5BE" w:rsidR="00E03BE8" w:rsidRPr="00E03BE8" w:rsidRDefault="000B3FA7" w:rsidP="00AA5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8651C0">
        <w:rPr>
          <w:rFonts w:ascii="Times New Roman" w:hAnsi="Times New Roman" w:cs="Times New Roman"/>
          <w:sz w:val="24"/>
          <w:szCs w:val="24"/>
        </w:rPr>
        <w:t xml:space="preserve">organizační </w:t>
      </w:r>
      <w:r>
        <w:rPr>
          <w:rFonts w:ascii="Times New Roman" w:hAnsi="Times New Roman" w:cs="Times New Roman"/>
          <w:sz w:val="24"/>
          <w:szCs w:val="24"/>
        </w:rPr>
        <w:t xml:space="preserve">směrnice </w:t>
      </w:r>
      <w:bookmarkStart w:id="11" w:name="_Toc533000623"/>
      <w:bookmarkStart w:id="12" w:name="_Toc522803734"/>
      <w:bookmarkStart w:id="13" w:name="_Toc522803743"/>
      <w:bookmarkStart w:id="14" w:name="_Toc522803996"/>
      <w:bookmarkStart w:id="15" w:name="_Toc533000625"/>
      <w:bookmarkStart w:id="16" w:name="_Toc522803735"/>
      <w:bookmarkStart w:id="17" w:name="_Toc522803744"/>
      <w:bookmarkStart w:id="18" w:name="_Toc522803997"/>
      <w:bookmarkStart w:id="19" w:name="_Toc533000626"/>
      <w:bookmarkStart w:id="20" w:name="_Toc532992350"/>
      <w:bookmarkStart w:id="21" w:name="_Toc534706229"/>
      <w:bookmarkStart w:id="22" w:name="_Toc534706230"/>
      <w:bookmarkStart w:id="23" w:name="_Toc534706231"/>
      <w:bookmarkStart w:id="24" w:name="_Toc534706232"/>
      <w:bookmarkStart w:id="25" w:name="_Toc534706233"/>
      <w:bookmarkStart w:id="26" w:name="_Toc534706234"/>
      <w:bookmarkStart w:id="27" w:name="_Toc534706235"/>
      <w:bookmarkStart w:id="28" w:name="_Toc534706236"/>
      <w:bookmarkStart w:id="29" w:name="_Toc534706237"/>
      <w:bookmarkStart w:id="30" w:name="_Toc534706238"/>
      <w:bookmarkStart w:id="31" w:name="_Toc534706239"/>
      <w:bookmarkStart w:id="32" w:name="_Toc534706240"/>
      <w:bookmarkStart w:id="33" w:name="_Toc534706241"/>
      <w:bookmarkStart w:id="34" w:name="_Toc53470624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AA5215">
        <w:rPr>
          <w:rFonts w:ascii="Times New Roman" w:hAnsi="Times New Roman" w:cs="Times New Roman"/>
          <w:sz w:val="24"/>
          <w:szCs w:val="24"/>
        </w:rPr>
        <w:t>nabývá platnosti dnem podpisu ředitele a účinnosti dne 17. prosince 2021</w:t>
      </w:r>
      <w:r w:rsidR="00AB7D0B">
        <w:rPr>
          <w:rFonts w:ascii="Times New Roman" w:hAnsi="Times New Roman" w:cs="Times New Roman"/>
          <w:sz w:val="24"/>
          <w:szCs w:val="24"/>
        </w:rPr>
        <w:t>.</w:t>
      </w:r>
    </w:p>
    <w:p w14:paraId="2A25766D" w14:textId="77777777" w:rsidR="00E03BE8" w:rsidRPr="00401849" w:rsidRDefault="00E03BE8" w:rsidP="008B0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2755F" w14:textId="77777777" w:rsidR="0029712F" w:rsidRPr="00E71300" w:rsidRDefault="0029712F" w:rsidP="00E71300">
      <w:pPr>
        <w:rPr>
          <w:rFonts w:ascii="Times New Roman" w:hAnsi="Times New Roman" w:cs="Times New Roman"/>
          <w:sz w:val="24"/>
          <w:szCs w:val="24"/>
        </w:rPr>
      </w:pPr>
    </w:p>
    <w:p w14:paraId="3F9CDEAE" w14:textId="77777777" w:rsidR="00A312EC" w:rsidRPr="00A312EC" w:rsidRDefault="00A312EC" w:rsidP="00AD224B">
      <w:pPr>
        <w:rPr>
          <w:rFonts w:ascii="Times New Roman" w:hAnsi="Times New Roman" w:cs="Times New Roman"/>
          <w:sz w:val="24"/>
          <w:szCs w:val="24"/>
        </w:rPr>
      </w:pPr>
    </w:p>
    <w:p w14:paraId="380CD28B" w14:textId="77777777" w:rsidR="000C2C52" w:rsidRPr="00C221C4" w:rsidRDefault="000C2C52" w:rsidP="00C221C4">
      <w:pPr>
        <w:rPr>
          <w:rFonts w:ascii="Times New Roman" w:hAnsi="Times New Roman" w:cs="Times New Roman"/>
          <w:sz w:val="24"/>
          <w:szCs w:val="24"/>
        </w:rPr>
      </w:pPr>
    </w:p>
    <w:p w14:paraId="69234518" w14:textId="77777777" w:rsidR="006911A9" w:rsidRDefault="006911A9" w:rsidP="00F40A74">
      <w:pPr>
        <w:pStyle w:val="Nzev"/>
        <w:jc w:val="both"/>
        <w:rPr>
          <w:b w:val="0"/>
          <w:szCs w:val="24"/>
        </w:rPr>
      </w:pPr>
    </w:p>
    <w:p w14:paraId="1527FB5C" w14:textId="77777777" w:rsidR="00E44C5B" w:rsidRPr="00E44C5B" w:rsidRDefault="00E44C5B" w:rsidP="00F40A74">
      <w:pPr>
        <w:pStyle w:val="Nzev"/>
        <w:jc w:val="both"/>
        <w:rPr>
          <w:bCs/>
          <w:szCs w:val="24"/>
        </w:rPr>
      </w:pPr>
    </w:p>
    <w:p w14:paraId="12C57DA4" w14:textId="77777777" w:rsidR="00F40A74" w:rsidRDefault="00F40A74" w:rsidP="00F40A74">
      <w:pPr>
        <w:pStyle w:val="Nzev"/>
        <w:jc w:val="both"/>
        <w:rPr>
          <w:sz w:val="36"/>
        </w:rPr>
      </w:pPr>
    </w:p>
    <w:p w14:paraId="3D71C39C" w14:textId="77777777" w:rsidR="00F40A74" w:rsidRDefault="00F40A74" w:rsidP="00F40A74">
      <w:pPr>
        <w:pStyle w:val="Nzev"/>
        <w:jc w:val="both"/>
        <w:rPr>
          <w:b w:val="0"/>
          <w:sz w:val="36"/>
        </w:rPr>
      </w:pPr>
    </w:p>
    <w:p w14:paraId="506A1901" w14:textId="77777777" w:rsidR="00F40A74" w:rsidRDefault="00F40A74" w:rsidP="00F40A74">
      <w:pPr>
        <w:pStyle w:val="Nzev"/>
        <w:jc w:val="both"/>
        <w:rPr>
          <w:b w:val="0"/>
          <w:sz w:val="36"/>
        </w:rPr>
      </w:pPr>
    </w:p>
    <w:p w14:paraId="114E1355" w14:textId="77777777" w:rsidR="00F40A74" w:rsidRDefault="00F40A74" w:rsidP="00F40A74">
      <w:pPr>
        <w:pStyle w:val="Nzev"/>
        <w:jc w:val="both"/>
        <w:rPr>
          <w:b w:val="0"/>
          <w:sz w:val="36"/>
        </w:rPr>
      </w:pPr>
    </w:p>
    <w:p w14:paraId="7B4860CB" w14:textId="77777777" w:rsidR="00F40A74" w:rsidRDefault="00F40A74" w:rsidP="00F40A74">
      <w:pPr>
        <w:pStyle w:val="Nzev"/>
        <w:jc w:val="both"/>
        <w:rPr>
          <w:b w:val="0"/>
          <w:sz w:val="36"/>
        </w:rPr>
      </w:pPr>
    </w:p>
    <w:p w14:paraId="22B63F70" w14:textId="77777777" w:rsidR="00F40A74" w:rsidRDefault="00F40A74" w:rsidP="00F40A74">
      <w:pPr>
        <w:pStyle w:val="Nzev"/>
        <w:jc w:val="both"/>
        <w:rPr>
          <w:b w:val="0"/>
          <w:sz w:val="36"/>
        </w:rPr>
      </w:pPr>
    </w:p>
    <w:p w14:paraId="2EADF7A4" w14:textId="630229EA" w:rsidR="00F40A74" w:rsidRPr="00F40A74" w:rsidRDefault="00F40A74">
      <w:pPr>
        <w:rPr>
          <w:rFonts w:ascii="Times New Roman" w:hAnsi="Times New Roman" w:cs="Times New Roman"/>
          <w:sz w:val="24"/>
          <w:szCs w:val="24"/>
        </w:rPr>
      </w:pPr>
    </w:p>
    <w:p w14:paraId="650EDFF4" w14:textId="06B28DB4" w:rsidR="00F40A74" w:rsidRDefault="00F40A74">
      <w:pPr>
        <w:rPr>
          <w:rFonts w:ascii="Times New Roman" w:hAnsi="Times New Roman" w:cs="Times New Roman"/>
        </w:rPr>
      </w:pPr>
    </w:p>
    <w:p w14:paraId="0AF2E1C0" w14:textId="22CB2E6F" w:rsidR="00F40A74" w:rsidRDefault="00F40A74">
      <w:pPr>
        <w:rPr>
          <w:rFonts w:ascii="Times New Roman" w:hAnsi="Times New Roman" w:cs="Times New Roman"/>
        </w:rPr>
      </w:pPr>
    </w:p>
    <w:p w14:paraId="67C12E31" w14:textId="7915EDC8" w:rsidR="00F40A74" w:rsidRDefault="00F40A74">
      <w:pPr>
        <w:rPr>
          <w:rFonts w:ascii="Times New Roman" w:hAnsi="Times New Roman" w:cs="Times New Roman"/>
        </w:rPr>
      </w:pPr>
    </w:p>
    <w:p w14:paraId="595005A5" w14:textId="6DF56BAC" w:rsidR="00F40A74" w:rsidRDefault="00F40A74">
      <w:pPr>
        <w:rPr>
          <w:rFonts w:ascii="Times New Roman" w:hAnsi="Times New Roman" w:cs="Times New Roman"/>
        </w:rPr>
      </w:pPr>
    </w:p>
    <w:p w14:paraId="7B30926D" w14:textId="116E6400" w:rsidR="00F40A74" w:rsidRDefault="00F40A74">
      <w:pPr>
        <w:rPr>
          <w:rFonts w:ascii="Times New Roman" w:hAnsi="Times New Roman" w:cs="Times New Roman"/>
        </w:rPr>
      </w:pPr>
    </w:p>
    <w:p w14:paraId="52FF05FA" w14:textId="1C952795" w:rsidR="00F40A74" w:rsidRDefault="00F40A74">
      <w:pPr>
        <w:rPr>
          <w:rFonts w:ascii="Times New Roman" w:hAnsi="Times New Roman" w:cs="Times New Roman"/>
        </w:rPr>
      </w:pPr>
    </w:p>
    <w:p w14:paraId="211C37DA" w14:textId="52976CED" w:rsidR="00F40A74" w:rsidRDefault="00F40A74">
      <w:pPr>
        <w:rPr>
          <w:rFonts w:ascii="Times New Roman" w:hAnsi="Times New Roman" w:cs="Times New Roman"/>
        </w:rPr>
      </w:pPr>
    </w:p>
    <w:p w14:paraId="163AABEC" w14:textId="77777777" w:rsidR="00F40A74" w:rsidRPr="00F40A74" w:rsidRDefault="00F40A74">
      <w:pPr>
        <w:rPr>
          <w:rFonts w:ascii="Times New Roman" w:hAnsi="Times New Roman" w:cs="Times New Roman"/>
        </w:rPr>
      </w:pPr>
    </w:p>
    <w:sectPr w:rsidR="00F40A74" w:rsidRPr="00F40A74" w:rsidSect="00950101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94F7" w14:textId="77777777" w:rsidR="00DA554B" w:rsidRDefault="00DA554B" w:rsidP="00950101">
      <w:pPr>
        <w:spacing w:after="0" w:line="240" w:lineRule="auto"/>
      </w:pPr>
      <w:r>
        <w:separator/>
      </w:r>
    </w:p>
  </w:endnote>
  <w:endnote w:type="continuationSeparator" w:id="0">
    <w:p w14:paraId="34CE65A0" w14:textId="77777777" w:rsidR="00DA554B" w:rsidRDefault="00DA554B" w:rsidP="0095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76795"/>
      <w:docPartObj>
        <w:docPartGallery w:val="Page Numbers (Bottom of Page)"/>
        <w:docPartUnique/>
      </w:docPartObj>
    </w:sdtPr>
    <w:sdtEndPr/>
    <w:sdtContent>
      <w:p w14:paraId="45517093" w14:textId="439768DD" w:rsidR="00950101" w:rsidRDefault="009501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3411" w14:textId="77777777" w:rsidR="00950101" w:rsidRDefault="00950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A98F" w14:textId="77777777" w:rsidR="00DA554B" w:rsidRDefault="00DA554B" w:rsidP="00950101">
      <w:pPr>
        <w:spacing w:after="0" w:line="240" w:lineRule="auto"/>
      </w:pPr>
      <w:r>
        <w:separator/>
      </w:r>
    </w:p>
  </w:footnote>
  <w:footnote w:type="continuationSeparator" w:id="0">
    <w:p w14:paraId="4A7B3A06" w14:textId="77777777" w:rsidR="00DA554B" w:rsidRDefault="00DA554B" w:rsidP="0095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22B119"/>
    <w:multiLevelType w:val="hybridMultilevel"/>
    <w:tmpl w:val="5BCB7E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2E844F"/>
    <w:multiLevelType w:val="hybridMultilevel"/>
    <w:tmpl w:val="AF16942E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E6084"/>
    <w:multiLevelType w:val="hybridMultilevel"/>
    <w:tmpl w:val="6F032B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334513"/>
    <w:multiLevelType w:val="hybridMultilevel"/>
    <w:tmpl w:val="34F2872E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C47D47"/>
    <w:multiLevelType w:val="hybridMultilevel"/>
    <w:tmpl w:val="C2EA2788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E16011"/>
    <w:multiLevelType w:val="multilevel"/>
    <w:tmpl w:val="BE66E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BFE030"/>
    <w:multiLevelType w:val="hybridMultilevel"/>
    <w:tmpl w:val="DDD25E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AF3E4B"/>
    <w:multiLevelType w:val="hybridMultilevel"/>
    <w:tmpl w:val="299CB0F4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E67CCE"/>
    <w:multiLevelType w:val="multilevel"/>
    <w:tmpl w:val="BE66E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907C69"/>
    <w:multiLevelType w:val="hybridMultilevel"/>
    <w:tmpl w:val="1AF0E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A625C"/>
    <w:multiLevelType w:val="hybridMultilevel"/>
    <w:tmpl w:val="6BF4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1E26"/>
    <w:multiLevelType w:val="multilevel"/>
    <w:tmpl w:val="186E7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6A36EB"/>
    <w:multiLevelType w:val="hybridMultilevel"/>
    <w:tmpl w:val="6FBAB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72B6B"/>
    <w:multiLevelType w:val="hybridMultilevel"/>
    <w:tmpl w:val="FBD824F8"/>
    <w:lvl w:ilvl="0" w:tplc="94C4B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1C028"/>
    <w:multiLevelType w:val="hybridMultilevel"/>
    <w:tmpl w:val="0F399C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35EC9CC"/>
    <w:multiLevelType w:val="hybridMultilevel"/>
    <w:tmpl w:val="76C6FB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C4A190B"/>
    <w:multiLevelType w:val="multilevel"/>
    <w:tmpl w:val="BE66E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25919085">
    <w:abstractNumId w:val="13"/>
  </w:num>
  <w:num w:numId="2" w16cid:durableId="142701661">
    <w:abstractNumId w:val="8"/>
  </w:num>
  <w:num w:numId="3" w16cid:durableId="1511795365">
    <w:abstractNumId w:val="15"/>
  </w:num>
  <w:num w:numId="4" w16cid:durableId="1282110161">
    <w:abstractNumId w:val="1"/>
  </w:num>
  <w:num w:numId="5" w16cid:durableId="1834956495">
    <w:abstractNumId w:val="0"/>
  </w:num>
  <w:num w:numId="6" w16cid:durableId="945890815">
    <w:abstractNumId w:val="6"/>
  </w:num>
  <w:num w:numId="7" w16cid:durableId="356128879">
    <w:abstractNumId w:val="2"/>
  </w:num>
  <w:num w:numId="8" w16cid:durableId="1131748238">
    <w:abstractNumId w:val="14"/>
  </w:num>
  <w:num w:numId="9" w16cid:durableId="1605574120">
    <w:abstractNumId w:val="11"/>
  </w:num>
  <w:num w:numId="10" w16cid:durableId="802576394">
    <w:abstractNumId w:val="9"/>
  </w:num>
  <w:num w:numId="11" w16cid:durableId="1123772414">
    <w:abstractNumId w:val="3"/>
  </w:num>
  <w:num w:numId="12" w16cid:durableId="1163425579">
    <w:abstractNumId w:val="4"/>
  </w:num>
  <w:num w:numId="13" w16cid:durableId="416635650">
    <w:abstractNumId w:val="5"/>
  </w:num>
  <w:num w:numId="14" w16cid:durableId="2103136052">
    <w:abstractNumId w:val="10"/>
  </w:num>
  <w:num w:numId="15" w16cid:durableId="973871683">
    <w:abstractNumId w:val="7"/>
  </w:num>
  <w:num w:numId="16" w16cid:durableId="1059524189">
    <w:abstractNumId w:val="12"/>
  </w:num>
  <w:num w:numId="17" w16cid:durableId="736664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74"/>
    <w:rsid w:val="00035B52"/>
    <w:rsid w:val="00037046"/>
    <w:rsid w:val="000A6DCF"/>
    <w:rsid w:val="000B3FA7"/>
    <w:rsid w:val="000C2C52"/>
    <w:rsid w:val="000D4501"/>
    <w:rsid w:val="00125FAC"/>
    <w:rsid w:val="001312C7"/>
    <w:rsid w:val="00145F8C"/>
    <w:rsid w:val="00182185"/>
    <w:rsid w:val="001B1AF5"/>
    <w:rsid w:val="00293E33"/>
    <w:rsid w:val="0029712F"/>
    <w:rsid w:val="002C333B"/>
    <w:rsid w:val="002E7A3D"/>
    <w:rsid w:val="00314317"/>
    <w:rsid w:val="0034056F"/>
    <w:rsid w:val="003F0D09"/>
    <w:rsid w:val="00401849"/>
    <w:rsid w:val="00435A53"/>
    <w:rsid w:val="00464B8E"/>
    <w:rsid w:val="004B6574"/>
    <w:rsid w:val="004C02FA"/>
    <w:rsid w:val="004E0251"/>
    <w:rsid w:val="00512B38"/>
    <w:rsid w:val="00527ED2"/>
    <w:rsid w:val="005556D6"/>
    <w:rsid w:val="00557D6F"/>
    <w:rsid w:val="005770B6"/>
    <w:rsid w:val="00615910"/>
    <w:rsid w:val="006911A9"/>
    <w:rsid w:val="006B1E53"/>
    <w:rsid w:val="006B6254"/>
    <w:rsid w:val="006F33BC"/>
    <w:rsid w:val="00704850"/>
    <w:rsid w:val="007147C5"/>
    <w:rsid w:val="007845BC"/>
    <w:rsid w:val="00797B70"/>
    <w:rsid w:val="007A1C42"/>
    <w:rsid w:val="00801C51"/>
    <w:rsid w:val="00804E36"/>
    <w:rsid w:val="00806419"/>
    <w:rsid w:val="00811EF3"/>
    <w:rsid w:val="00863948"/>
    <w:rsid w:val="008651C0"/>
    <w:rsid w:val="00884A97"/>
    <w:rsid w:val="008B0126"/>
    <w:rsid w:val="008B5F80"/>
    <w:rsid w:val="00932247"/>
    <w:rsid w:val="00950101"/>
    <w:rsid w:val="00964623"/>
    <w:rsid w:val="009A0BB4"/>
    <w:rsid w:val="009E2984"/>
    <w:rsid w:val="00A312EC"/>
    <w:rsid w:val="00A45E34"/>
    <w:rsid w:val="00AA5215"/>
    <w:rsid w:val="00AB68A4"/>
    <w:rsid w:val="00AB7D0B"/>
    <w:rsid w:val="00AD224B"/>
    <w:rsid w:val="00B11BBE"/>
    <w:rsid w:val="00B60C13"/>
    <w:rsid w:val="00B93D61"/>
    <w:rsid w:val="00BC037D"/>
    <w:rsid w:val="00BC276A"/>
    <w:rsid w:val="00BE4DFF"/>
    <w:rsid w:val="00BE4E5D"/>
    <w:rsid w:val="00C04448"/>
    <w:rsid w:val="00C221C4"/>
    <w:rsid w:val="00C30F43"/>
    <w:rsid w:val="00C61468"/>
    <w:rsid w:val="00C80863"/>
    <w:rsid w:val="00C869D8"/>
    <w:rsid w:val="00CC24B0"/>
    <w:rsid w:val="00CC37B0"/>
    <w:rsid w:val="00D33400"/>
    <w:rsid w:val="00D42ECD"/>
    <w:rsid w:val="00DA554B"/>
    <w:rsid w:val="00DD3BD6"/>
    <w:rsid w:val="00E03BE8"/>
    <w:rsid w:val="00E30214"/>
    <w:rsid w:val="00E44C5B"/>
    <w:rsid w:val="00E71300"/>
    <w:rsid w:val="00E74328"/>
    <w:rsid w:val="00E74D31"/>
    <w:rsid w:val="00E82D9A"/>
    <w:rsid w:val="00E9047F"/>
    <w:rsid w:val="00EB3E0E"/>
    <w:rsid w:val="00EE5BF2"/>
    <w:rsid w:val="00EF26C7"/>
    <w:rsid w:val="00F04312"/>
    <w:rsid w:val="00F20C4D"/>
    <w:rsid w:val="00F40A74"/>
    <w:rsid w:val="00F6474B"/>
    <w:rsid w:val="00FA40C2"/>
    <w:rsid w:val="00FA5643"/>
    <w:rsid w:val="00F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75FB"/>
  <w15:chartTrackingRefBased/>
  <w15:docId w15:val="{7290257E-15C2-4805-8A92-79F66B08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1C4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7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40A7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40A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40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40A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apisneslovan1">
    <w:name w:val="Napis nečíslovaný 1"/>
    <w:qFormat/>
    <w:rsid w:val="00F40A74"/>
    <w:pPr>
      <w:spacing w:after="220" w:line="240" w:lineRule="auto"/>
    </w:pPr>
    <w:rPr>
      <w:rFonts w:ascii="Arial" w:eastAsia="Times New Roman" w:hAnsi="Arial" w:cs="Times New Roman"/>
      <w:b/>
      <w:sz w:val="32"/>
      <w:szCs w:val="32"/>
      <w:lang w:bidi="en-US"/>
    </w:rPr>
  </w:style>
  <w:style w:type="paragraph" w:customStyle="1" w:styleId="zkratky">
    <w:name w:val="zkratky"/>
    <w:qFormat/>
    <w:rsid w:val="00F40A74"/>
    <w:pPr>
      <w:spacing w:before="120" w:after="120" w:line="288" w:lineRule="auto"/>
    </w:pPr>
    <w:rPr>
      <w:rFonts w:ascii="Arial" w:eastAsia="Times New Roman" w:hAnsi="Arial" w:cs="Times New Roman"/>
      <w:lang w:bidi="en-US"/>
    </w:rPr>
  </w:style>
  <w:style w:type="character" w:customStyle="1" w:styleId="Nadpis1Char">
    <w:name w:val="Nadpis 1 Char"/>
    <w:basedOn w:val="Standardnpsmoodstavce"/>
    <w:link w:val="Nadpis1"/>
    <w:rsid w:val="007A1C4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037D"/>
    <w:rPr>
      <w:rFonts w:ascii="Times New Roman" w:eastAsiaTheme="majorEastAsia" w:hAnsi="Times New Roman" w:cstheme="majorBidi"/>
      <w:b/>
      <w:sz w:val="26"/>
      <w:szCs w:val="26"/>
    </w:rPr>
  </w:style>
  <w:style w:type="paragraph" w:customStyle="1" w:styleId="Default">
    <w:name w:val="Default"/>
    <w:rsid w:val="00577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57D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44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444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03BE8"/>
  </w:style>
  <w:style w:type="paragraph" w:styleId="Zpat">
    <w:name w:val="footer"/>
    <w:basedOn w:val="Normln"/>
    <w:link w:val="ZpatChar"/>
    <w:uiPriority w:val="99"/>
    <w:unhideWhenUsed/>
    <w:rsid w:val="0095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101"/>
  </w:style>
  <w:style w:type="paragraph" w:styleId="Nadpisobsahu">
    <w:name w:val="TOC Heading"/>
    <w:basedOn w:val="Nadpis1"/>
    <w:next w:val="Normln"/>
    <w:uiPriority w:val="39"/>
    <w:unhideWhenUsed/>
    <w:qFormat/>
    <w:rsid w:val="000D450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0D450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D450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D450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http://schemas.microsoft.com/sharepoint.v3" xsi:nil="true"/>
    <DocumentSetDescription xmlns="http://schemas.microsoft.com/sharepoint/v3" xsi:nil="true"/>
    <UcinnostOd xmlns="1ac0cf2b-752b-4e1f-827d-b5a34f1c7e8a">2021-12-16T23:00:00+00:00</UcinnostOd>
    <RoutingRuleDescription xmlns="http://schemas.microsoft.com/sharepoint/v3" xsi:nil="true"/>
    <Zpracovatel xmlns="5e9802ba-6018-466f-84c7-2beaff49fe7e">19</Zpracovatel>
    <TypDokumentu xmlns="1ac0cf2b-752b-4e1f-827d-b5a34f1c7e8a">Organizační směrnice</TypDokumentu>
    <StavPlatnosti xmlns="5e9802ba-6018-466f-84c7-2beaff49fe7e">ANO</StavPlatnosti>
    <PlatnostDo xmlns="1ac0cf2b-752b-4e1f-827d-b5a34f1c7e8a" xsi:nil="true"/>
    <CisloDokumentu xmlns="1ac0cf2b-752b-4e1f-827d-b5a34f1c7e8a">OS-18/05/21</Cislo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A134647CF374ABE60DA4A7E019C54" ma:contentTypeVersion="22" ma:contentTypeDescription="Vytvoří nový dokument" ma:contentTypeScope="" ma:versionID="52402cf861cad618bc4a708240b26f90">
  <xsd:schema xmlns:xsd="http://www.w3.org/2001/XMLSchema" xmlns:xs="http://www.w3.org/2001/XMLSchema" xmlns:p="http://schemas.microsoft.com/office/2006/metadata/properties" xmlns:ns1="http://schemas.microsoft.com/sharepoint/v3" xmlns:ns2="1ac0cf2b-752b-4e1f-827d-b5a34f1c7e8a" xmlns:ns3="5e9802ba-6018-466f-84c7-2beaff49fe7e" xmlns:ns4="http://schemas.microsoft.com/sharepoint.v3" targetNamespace="http://schemas.microsoft.com/office/2006/metadata/properties" ma:root="true" ma:fieldsID="a82fd8177fb835ffd3a9b258ac6ebc40" ns1:_="" ns2:_="" ns3:_="" ns4:_="">
    <xsd:import namespace="http://schemas.microsoft.com/sharepoint/v3"/>
    <xsd:import namespace="1ac0cf2b-752b-4e1f-827d-b5a34f1c7e8a"/>
    <xsd:import namespace="5e9802ba-6018-466f-84c7-2beaff49fe7e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TypDokumentu"/>
                <xsd:element ref="ns1:DocumentSetDescription" minOccurs="0"/>
                <xsd:element ref="ns2:PlatnostDo" minOccurs="0"/>
                <xsd:element ref="ns2:UcinnostOd" minOccurs="0"/>
                <xsd:element ref="ns2:CisloDokumentu" minOccurs="0"/>
                <xsd:element ref="ns3:StavPlatnosti" minOccurs="0"/>
                <xsd:element ref="ns3:Zpracovatel" minOccurs="0"/>
                <xsd:element ref="ns4:Popis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" nillable="true" ma:displayName="Poznámka" ma:description="Popis sady dokumentů" ma:internalName="DocumentSetDescription">
      <xsd:simpleType>
        <xsd:restriction base="dms:Note"/>
      </xsd:simpleType>
    </xsd:element>
    <xsd:element name="RoutingRuleDescription" ma:index="16" nillable="true" ma:displayName="Popis" ma:hidden="true" ma:internalName="Popis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cf2b-752b-4e1f-827d-b5a34f1c7e8a" elementFormDefault="qualified">
    <xsd:import namespace="http://schemas.microsoft.com/office/2006/documentManagement/types"/>
    <xsd:import namespace="http://schemas.microsoft.com/office/infopath/2007/PartnerControls"/>
    <xsd:element name="TypDokumentu" ma:index="1" ma:displayName="Typ Dokumentu" ma:default="Organizační směrnice" ma:format="Dropdown" ma:internalName="TypDokumentu" ma:readOnly="false">
      <xsd:simpleType>
        <xsd:restriction base="dms:Choice">
          <xsd:enumeration value="Předpis vydaný na základě zákonů"/>
          <xsd:enumeration value="Organizační směrnice"/>
          <xsd:enumeration value="Příkaz ředitele"/>
          <xsd:enumeration value="Pracovní instrukce"/>
          <xsd:enumeration value="Pokyny ředitele"/>
          <xsd:enumeration value="Pracovní instrukce"/>
          <xsd:enumeration value="Směrnice RK"/>
          <xsd:enumeration value="Směrnice ZK"/>
        </xsd:restriction>
      </xsd:simpleType>
    </xsd:element>
    <xsd:element name="PlatnostDo" ma:index="3" nillable="true" ma:displayName="Platnost do" ma:format="DateOnly" ma:internalName="PlatnostDo" ma:readOnly="false">
      <xsd:simpleType>
        <xsd:restriction base="dms:DateTime"/>
      </xsd:simpleType>
    </xsd:element>
    <xsd:element name="UcinnostOd" ma:index="4" nillable="true" ma:displayName="Účinnost od" ma:format="DateOnly" ma:internalName="UcinnostOd" ma:readOnly="false">
      <xsd:simpleType>
        <xsd:restriction base="dms:DateTime"/>
      </xsd:simpleType>
    </xsd:element>
    <xsd:element name="CisloDokumentu" ma:index="5" nillable="true" ma:displayName="Číslo dokumentu" ma:internalName="CisloDokumentu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802ba-6018-466f-84c7-2beaff49fe7e" elementFormDefault="qualified">
    <xsd:import namespace="http://schemas.microsoft.com/office/2006/documentManagement/types"/>
    <xsd:import namespace="http://schemas.microsoft.com/office/infopath/2007/PartnerControls"/>
    <xsd:element name="StavPlatnosti" ma:index="6" nillable="true" ma:displayName="Stav platnosti" ma:default="ANO" ma:format="RadioButtons" ma:internalName="StavPlatnosti">
      <xsd:simpleType>
        <xsd:restriction base="dms:Choice">
          <xsd:enumeration value="ANO"/>
          <xsd:enumeration value="NE"/>
        </xsd:restriction>
      </xsd:simpleType>
    </xsd:element>
    <xsd:element name="Zpracovatel" ma:index="7" nillable="true" ma:displayName="Zpracovatel" ma:list="{8a15c8d1-0c29-4ca6-9917-3548ed458972}" ma:internalName="Zpracovatel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Popis" ma:index="14" nillable="true" ma:displayName="Popis" ma:hidden="true" ma:internalName="Popi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ACA68-7750-4BAA-B352-544D57528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A6AA2-06D0-4B9D-BAEB-0076D1ACE160}">
  <ds:schemaRefs>
    <ds:schemaRef ds:uri="http://schemas.microsoft.com/sharepoint/v3"/>
    <ds:schemaRef ds:uri="http://purl.org/dc/dcmitype/"/>
    <ds:schemaRef ds:uri="5e9802ba-6018-466f-84c7-2beaff49fe7e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.v3"/>
    <ds:schemaRef ds:uri="http://schemas.microsoft.com/office/infopath/2007/PartnerControls"/>
    <ds:schemaRef ds:uri="http://schemas.openxmlformats.org/package/2006/metadata/core-properties"/>
    <ds:schemaRef ds:uri="1ac0cf2b-752b-4e1f-827d-b5a34f1c7e8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3AAAE9-2BB3-4727-9A31-54F3C565B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9719B-575F-4822-9453-1CAA1EB16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0cf2b-752b-4e1f-827d-b5a34f1c7e8a"/>
    <ds:schemaRef ds:uri="5e9802ba-6018-466f-84c7-2beaff49fe7e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1717</Words>
  <Characters>10132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Šikola Roman</dc:creator>
  <cp:keywords/>
  <dc:description/>
  <cp:lastModifiedBy>Jandlová Kateřina</cp:lastModifiedBy>
  <cp:revision>2</cp:revision>
  <cp:lastPrinted>2021-12-17T12:22:00Z</cp:lastPrinted>
  <dcterms:created xsi:type="dcterms:W3CDTF">2023-06-09T08:29:00Z</dcterms:created>
  <dcterms:modified xsi:type="dcterms:W3CDTF">2023-06-09T08:29:00Z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0x010100C83A134647CF374ABE60DA4A7E019C54</vt:lpwstr>
  </property>
</Properties>
</file>